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bookmarkStart w:id="0" w:name="OLE_LINK25"/>
      <w:bookmarkStart w:id="1" w:name="OLE_LINK24"/>
      <w:bookmarkStart w:id="2" w:name="OLE_LINK33"/>
      <w:bookmarkStart w:id="3" w:name="OLE_LINK13"/>
      <w:bookmarkStart w:id="4" w:name="OLE_LINK12"/>
      <w:bookmarkStart w:id="5" w:name="OLE_LINK34"/>
      <w:r>
        <w:rPr>
          <w:rFonts w:hint="eastAsia" w:ascii="Arial" w:hAnsi="Arial" w:eastAsia="宋体"/>
          <w:b/>
          <w:lang w:eastAsia="ja-JP"/>
        </w:rPr>
        <w:t>3GPP TSG RAN WG1 #</w:t>
      </w:r>
      <w:r>
        <w:rPr>
          <w:rFonts w:hint="eastAsia" w:ascii="Arial" w:hAnsi="Arial" w:eastAsia="宋体"/>
          <w:b/>
        </w:rPr>
        <w:t xml:space="preserve">104-e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R1-2</w:t>
      </w:r>
      <w:r>
        <w:rPr>
          <w:rFonts w:hint="eastAsia" w:ascii="Arial" w:hAnsi="Arial" w:eastAsia="宋体"/>
          <w:b/>
        </w:rPr>
        <w:t>100291</w:t>
      </w:r>
      <w:r>
        <w:rPr>
          <w:rFonts w:hint="eastAsia" w:ascii="Arial" w:hAnsi="Arial" w:eastAsia="宋体"/>
          <w:b/>
          <w:lang w:eastAsia="ja-JP"/>
        </w:rPr>
        <w:t xml:space="preserve">                                                                         </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b/>
        </w:rPr>
        <w:t>e-Meeting</w:t>
      </w:r>
      <w:r>
        <w:rPr>
          <w:rFonts w:ascii="Arial" w:hAnsi="Arial"/>
          <w:b/>
          <w:lang w:eastAsia="ja-JP"/>
        </w:rPr>
        <w:t>,</w:t>
      </w:r>
      <w:r>
        <w:rPr>
          <w:rFonts w:hint="eastAsia" w:ascii="Arial" w:hAnsi="Arial"/>
          <w:b/>
        </w:rPr>
        <w:t xml:space="preserve"> January </w:t>
      </w:r>
      <w:r>
        <w:rPr>
          <w:rFonts w:ascii="Arial" w:hAnsi="Arial"/>
          <w:b/>
          <w:lang w:eastAsia="ja-JP"/>
        </w:rPr>
        <w:t>2</w:t>
      </w:r>
      <w:r>
        <w:rPr>
          <w:rFonts w:hint="eastAsia" w:ascii="Arial" w:hAnsi="Arial"/>
          <w:b/>
        </w:rPr>
        <w:t>5</w:t>
      </w:r>
      <w:r>
        <w:rPr>
          <w:rFonts w:ascii="Arial" w:hAnsi="Arial"/>
          <w:b/>
          <w:vertAlign w:val="superscript"/>
          <w:lang w:eastAsia="ja-JP"/>
        </w:rPr>
        <w:t>th</w:t>
      </w:r>
      <w:r>
        <w:rPr>
          <w:rFonts w:ascii="Arial" w:hAnsi="Arial"/>
          <w:b/>
          <w:lang w:eastAsia="ja-JP"/>
        </w:rPr>
        <w:t xml:space="preserve"> – </w:t>
      </w:r>
      <w:r>
        <w:rPr>
          <w:rFonts w:hint="eastAsia" w:ascii="Arial" w:hAnsi="Arial"/>
          <w:b/>
        </w:rPr>
        <w:t>February 5</w:t>
      </w:r>
      <w:r>
        <w:rPr>
          <w:rFonts w:ascii="Arial" w:hAnsi="Arial"/>
          <w:b/>
          <w:vertAlign w:val="superscript"/>
          <w:lang w:eastAsia="ja-JP"/>
        </w:rPr>
        <w:t>th</w:t>
      </w:r>
      <w:r>
        <w:rPr>
          <w:rFonts w:ascii="Arial" w:hAnsi="Arial"/>
          <w:b/>
          <w:lang w:eastAsia="ja-JP"/>
        </w:rPr>
        <w:t>,</w:t>
      </w:r>
      <w:r>
        <w:rPr>
          <w:rFonts w:hint="eastAsia" w:ascii="Arial" w:hAnsi="Arial" w:eastAsia="宋体"/>
          <w:b/>
          <w:lang w:eastAsia="ja-JP"/>
        </w:rPr>
        <w:t xml:space="preserve"> 20</w:t>
      </w:r>
      <w:r>
        <w:rPr>
          <w:rFonts w:hint="eastAsia" w:ascii="Arial" w:hAnsi="Arial" w:eastAsia="宋体"/>
          <w:b/>
        </w:rPr>
        <w:t>21</w:t>
      </w:r>
    </w:p>
    <w:bookmarkEnd w:id="0"/>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Source:         ZTE</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Title:            CSI enhancements for Multi-TRP and FR1 FDD reciprocity</w:t>
      </w:r>
    </w:p>
    <w:bookmarkEnd w:id="1"/>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lang w:eastAsia="ja-JP"/>
        </w:rPr>
        <w:t xml:space="preserve">Agenda item:    </w:t>
      </w:r>
      <w:r>
        <w:rPr>
          <w:rFonts w:hint="eastAsia" w:ascii="Arial" w:hAnsi="Arial" w:eastAsia="宋体"/>
          <w:b/>
        </w:rPr>
        <w:t>8.1.4</w:t>
      </w:r>
    </w:p>
    <w:bookmarkEnd w:id="2"/>
    <w:bookmarkEnd w:id="3"/>
    <w:bookmarkEnd w:id="4"/>
    <w:bookmarkEnd w:id="5"/>
    <w:p>
      <w:pPr>
        <w:pBdr>
          <w:bottom w:val="single" w:color="auto" w:sz="6" w:space="1"/>
        </w:pBdr>
        <w:snapToGrid w:val="0"/>
        <w:spacing w:after="0" w:line="240" w:lineRule="auto"/>
        <w:ind w:left="1797" w:hanging="1797"/>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p>
    <w:p>
      <w:pPr>
        <w:pStyle w:val="2"/>
        <w:snapToGrid w:val="0"/>
        <w:spacing w:before="180" w:beforeLines="50" w:after="180" w:afterLines="50"/>
        <w:ind w:left="431" w:hanging="431"/>
        <w:rPr>
          <w:sz w:val="28"/>
          <w:lang w:val="en-US"/>
        </w:rPr>
      </w:pPr>
      <w:r>
        <w:rPr>
          <w:sz w:val="28"/>
          <w:lang w:val="en-US"/>
        </w:rPr>
        <w:t>Introduction</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RAN#86, the Rel-17 WID for further enhancements on NR MIMO was approved [1], in which one potential enhancement is for CSI measurement and reporting as shown as follows</w:t>
      </w:r>
    </w:p>
    <w:tbl>
      <w:tblPr>
        <w:tblStyle w:val="28"/>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pPr>
              <w:pStyle w:val="96"/>
              <w:adjustRightInd w:val="0"/>
              <w:snapToGrid w:val="0"/>
              <w:spacing w:after="0" w:line="240" w:lineRule="auto"/>
              <w:ind w:left="0" w:leftChars="0" w:firstLine="200" w:firstLineChars="100"/>
              <w:jc w:val="both"/>
              <w:rPr>
                <w:rFonts w:ascii="Times New Roman" w:hAnsi="Times New Roman"/>
                <w:sz w:val="20"/>
                <w:szCs w:val="20"/>
              </w:rPr>
            </w:pPr>
            <w:r>
              <w:rPr>
                <w:rFonts w:ascii="Times New Roman" w:hAnsi="Times New Roman"/>
                <w:sz w:val="20"/>
                <w:szCs w:val="20"/>
              </w:rPr>
              <w:t>Enhancement on CSI measurement and reporting:</w:t>
            </w:r>
          </w:p>
          <w:p>
            <w:pPr>
              <w:pStyle w:val="96"/>
              <w:numPr>
                <w:ilvl w:val="1"/>
                <w:numId w:val="2"/>
              </w:numPr>
              <w:adjustRightInd w:val="0"/>
              <w:snapToGrid w:val="0"/>
              <w:spacing w:after="0" w:line="240" w:lineRule="auto"/>
              <w:ind w:left="1240"/>
              <w:jc w:val="both"/>
              <w:rPr>
                <w:rFonts w:ascii="Times New Roman" w:hAnsi="Times New Roman"/>
                <w:sz w:val="20"/>
                <w:szCs w:val="20"/>
              </w:rPr>
            </w:pPr>
            <w:r>
              <w:rPr>
                <w:rFonts w:ascii="Times New Roman" w:hAnsi="Times New Roman"/>
                <w:sz w:val="20"/>
                <w:szCs w:val="20"/>
              </w:rPr>
              <w:t>Evaluate and, if needed, specify CSI reporting for DL multi-TRP and/or multi-panel transmission to enable more dynamic channel/interference hypotheses for NCJT, targeting both FR1 and FR2</w:t>
            </w:r>
          </w:p>
          <w:p>
            <w:pPr>
              <w:pStyle w:val="96"/>
              <w:numPr>
                <w:ilvl w:val="1"/>
                <w:numId w:val="2"/>
              </w:numPr>
              <w:adjustRightInd w:val="0"/>
              <w:snapToGrid w:val="0"/>
              <w:spacing w:after="0" w:line="240" w:lineRule="auto"/>
              <w:ind w:left="1240"/>
              <w:jc w:val="both"/>
              <w:rPr>
                <w:rFonts w:ascii="Times New Roman" w:hAnsi="Times New Roman"/>
                <w:sz w:val="20"/>
                <w:szCs w:val="20"/>
              </w:rPr>
            </w:pPr>
            <w:r>
              <w:rPr>
                <w:rFonts w:ascii="Times New Roman" w:hAnsi="Times New Roman"/>
                <w:sz w:val="20"/>
                <w:szCs w:val="20"/>
              </w:rPr>
              <w:t>Evaluate and, if needed, specify 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p>
        </w:tc>
      </w:tr>
    </w:tbl>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w:t>
      </w:r>
      <w:r>
        <w:rPr>
          <w:rFonts w:ascii="Times New Roman" w:hAnsi="Times New Roman"/>
          <w:sz w:val="20"/>
          <w:szCs w:val="20"/>
        </w:rPr>
        <w:t xml:space="preserve"> RAN1#103e, progress has been made on MTRP CSI and FDD reciprocity based CSI. Detailed codebook alternatives have been proposed for FDD reciprocity based CSI enhancement. Additionally, general framework for MTRP CSI enhancement has been established.</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this contribution, we provide our views and simulation results for </w:t>
      </w:r>
      <w:r>
        <w:rPr>
          <w:rFonts w:ascii="Times New Roman" w:hAnsi="Times New Roman"/>
          <w:sz w:val="20"/>
          <w:szCs w:val="20"/>
        </w:rPr>
        <w:t>further details on</w:t>
      </w:r>
      <w:r>
        <w:rPr>
          <w:rFonts w:hint="eastAsia" w:ascii="Times New Roman" w:hAnsi="Times New Roman"/>
          <w:sz w:val="20"/>
          <w:szCs w:val="20"/>
        </w:rPr>
        <w:t xml:space="preserve"> </w:t>
      </w:r>
      <w:r>
        <w:rPr>
          <w:rFonts w:ascii="Times New Roman" w:hAnsi="Times New Roman"/>
          <w:sz w:val="20"/>
          <w:szCs w:val="20"/>
        </w:rPr>
        <w:t>these</w:t>
      </w:r>
      <w:r>
        <w:rPr>
          <w:rFonts w:hint="eastAsia" w:ascii="Times New Roman" w:hAnsi="Times New Roman"/>
          <w:sz w:val="20"/>
          <w:szCs w:val="20"/>
        </w:rPr>
        <w:t xml:space="preserve"> enhancement</w:t>
      </w:r>
      <w:r>
        <w:rPr>
          <w:rFonts w:ascii="Times New Roman" w:hAnsi="Times New Roman"/>
          <w:sz w:val="20"/>
          <w:szCs w:val="20"/>
        </w:rPr>
        <w:t xml:space="preserve"> aspect</w:t>
      </w:r>
      <w:r>
        <w:rPr>
          <w:rFonts w:hint="eastAsia" w:ascii="Times New Roman" w:hAnsi="Times New Roman"/>
          <w:sz w:val="20"/>
          <w:szCs w:val="20"/>
        </w:rPr>
        <w:t xml:space="preserve">s. </w:t>
      </w:r>
    </w:p>
    <w:p>
      <w:pPr>
        <w:pStyle w:val="2"/>
        <w:snapToGrid w:val="0"/>
        <w:spacing w:before="180" w:beforeLines="50" w:after="180" w:afterLines="50"/>
        <w:ind w:left="431" w:hanging="431"/>
        <w:rPr>
          <w:lang w:val="en-US"/>
        </w:rPr>
      </w:pPr>
      <w:r>
        <w:rPr>
          <w:rFonts w:hint="eastAsia"/>
          <w:sz w:val="28"/>
          <w:lang w:val="en-US"/>
        </w:rPr>
        <w:t>M</w:t>
      </w:r>
      <w:r>
        <w:rPr>
          <w:sz w:val="28"/>
          <w:lang w:val="en-US"/>
        </w:rPr>
        <w:t>ulti-</w:t>
      </w:r>
      <w:r>
        <w:rPr>
          <w:rFonts w:hint="eastAsia"/>
          <w:sz w:val="28"/>
          <w:lang w:val="en-US"/>
        </w:rPr>
        <w:t>TRP CSI enhancement</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RAN1#103-e meeting, MTRP CSI enhancement category 1 mainly for single-DCI based SDM scheme was agreed, i.e. NZP CSI-RS resources for channel measurement are associated to different TRPs/TCI states at resource level. Meanwhile, category 2 mainly for multi-DCI based scheme with non-ideal backhaul was agreed as a working assumption with lower priority. In this section, we analyze these two categories and provide our preference respectively.</w:t>
      </w:r>
    </w:p>
    <w:p>
      <w:pPr>
        <w:pStyle w:val="3"/>
        <w:widowControl/>
        <w:numPr>
          <w:ilvl w:val="0"/>
          <w:numId w:val="0"/>
        </w:numPr>
        <w:autoSpaceDE/>
        <w:autoSpaceDN/>
        <w:adjustRightInd/>
        <w:snapToGrid w:val="0"/>
        <w:spacing w:after="180" w:afterLines="50" w:line="240" w:lineRule="auto"/>
        <w:ind w:left="432" w:hanging="432"/>
        <w:rPr>
          <w:rFonts w:ascii="Arial" w:hAnsi="Arial"/>
          <w:bCs w:val="0"/>
          <w:sz w:val="24"/>
          <w:szCs w:val="24"/>
          <w:lang w:val="en-US"/>
        </w:rPr>
      </w:pPr>
      <w:r>
        <w:rPr>
          <w:rFonts w:hint="eastAsia" w:ascii="Arial" w:hAnsi="Arial"/>
          <w:bCs w:val="0"/>
          <w:sz w:val="24"/>
          <w:szCs w:val="24"/>
          <w:lang w:val="en-US"/>
        </w:rPr>
        <w:t>2.1 Category 1</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As shown in the following agreements for MTRP CSI category 1 made in RAN1#103 meeting, the CMRs configured within one CSI-RS resource set may be associated for NCJT CSI feedback. The remaining details are mainly from CMR configuration, CPU </w:t>
      </w:r>
      <w:r>
        <w:rPr>
          <w:rFonts w:hint="eastAsia" w:ascii="Times New Roman" w:hAnsi="Times New Roman"/>
          <w:sz w:val="20"/>
          <w:szCs w:val="20"/>
          <w:lang w:eastAsia="zh-CN"/>
        </w:rPr>
        <w:t>calculation</w:t>
      </w:r>
      <w:r>
        <w:rPr>
          <w:rFonts w:hint="eastAsia" w:ascii="Times New Roman" w:hAnsi="Times New Roman"/>
          <w:sz w:val="20"/>
          <w:szCs w:val="20"/>
        </w:rPr>
        <w:t xml:space="preserve">, CSI </w:t>
      </w:r>
      <w:r>
        <w:rPr>
          <w:rFonts w:hint="eastAsia" w:ascii="Times New Roman" w:hAnsi="Times New Roman"/>
          <w:sz w:val="20"/>
          <w:szCs w:val="20"/>
          <w:lang w:val="en-US" w:eastAsia="zh-CN"/>
        </w:rPr>
        <w:t>reporting</w:t>
      </w:r>
      <w:r>
        <w:rPr>
          <w:rFonts w:hint="eastAsia" w:ascii="Times New Roman" w:hAnsi="Times New Roman"/>
          <w:sz w:val="20"/>
          <w:szCs w:val="20"/>
        </w:rPr>
        <w:t xml:space="preserve">.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w:t>
            </w:r>
            <w:r>
              <w:rPr>
                <w:rFonts w:hint="eastAsia" w:ascii="Times New Roman" w:hAnsi="Times New Roman"/>
                <w:b/>
                <w:bCs/>
                <w:sz w:val="20"/>
                <w:szCs w:val="20"/>
                <w:u w:val="single"/>
              </w:rPr>
              <w:t>#1</w:t>
            </w:r>
          </w:p>
          <w:p>
            <w:pPr>
              <w:snapToGrid w:val="0"/>
              <w:spacing w:after="0" w:line="240" w:lineRule="auto"/>
              <w:rPr>
                <w:rFonts w:ascii="Times New Roman" w:hAnsi="Times New Roman"/>
                <w:i/>
                <w:iCs/>
                <w:sz w:val="20"/>
                <w:szCs w:val="20"/>
              </w:rPr>
            </w:pPr>
            <w:r>
              <w:rPr>
                <w:rFonts w:ascii="Times New Roman" w:hAnsi="Times New Roman"/>
                <w:sz w:val="20"/>
                <w:szCs w:val="20"/>
              </w:rPr>
              <w:t xml:space="preserve">For CSI measurement associated to a reporting setting CSI-ReportConfig for NCJT, [at least for multi-DCI based and single-DCI based schemes (scheme 1a)], NZP CSI-RS resources for channel measurement are associated to different TRPs/TCI states at resource level </w:t>
            </w:r>
          </w:p>
          <w:p>
            <w:pPr>
              <w:pStyle w:val="96"/>
              <w:numPr>
                <w:ilvl w:val="0"/>
                <w:numId w:val="3"/>
              </w:numPr>
              <w:snapToGrid w:val="0"/>
              <w:spacing w:after="0" w:line="240" w:lineRule="auto"/>
              <w:ind w:leftChars="0"/>
              <w:rPr>
                <w:rFonts w:ascii="Times New Roman" w:hAnsi="Times New Roman"/>
                <w:sz w:val="20"/>
                <w:szCs w:val="20"/>
                <w:lang w:val="en-GB"/>
              </w:rPr>
            </w:pPr>
            <w:r>
              <w:rPr>
                <w:rFonts w:ascii="Times New Roman" w:hAnsi="Times New Roman"/>
                <w:sz w:val="20"/>
                <w:szCs w:val="20"/>
              </w:rPr>
              <w:t>CMRs corresponding to different TRPs respectively shall be configured within the same resource set (i.e. scheme 1-2) and have the same number of ports among CMRs.</w:t>
            </w:r>
          </w:p>
          <w:p>
            <w:pPr>
              <w:pStyle w:val="96"/>
              <w:numPr>
                <w:ilvl w:val="0"/>
                <w:numId w:val="3"/>
              </w:numPr>
              <w:snapToGrid w:val="0"/>
              <w:spacing w:after="0" w:line="240" w:lineRule="auto"/>
              <w:ind w:leftChars="0"/>
              <w:rPr>
                <w:rFonts w:ascii="Times New Roman" w:hAnsi="Times New Roman"/>
                <w:sz w:val="20"/>
                <w:szCs w:val="20"/>
              </w:rPr>
            </w:pPr>
            <w:r>
              <w:rPr>
                <w:rFonts w:ascii="Times New Roman" w:hAnsi="Times New Roman"/>
                <w:sz w:val="20"/>
                <w:szCs w:val="20"/>
              </w:rPr>
              <w:t xml:space="preserve">At least ‘typeI-SinglePanel’ codebook is supported </w:t>
            </w:r>
          </w:p>
          <w:p>
            <w:pPr>
              <w:pStyle w:val="96"/>
              <w:numPr>
                <w:ilvl w:val="1"/>
                <w:numId w:val="3"/>
              </w:numPr>
              <w:snapToGrid w:val="0"/>
              <w:spacing w:after="0" w:line="240" w:lineRule="auto"/>
              <w:ind w:leftChars="0"/>
              <w:rPr>
                <w:rFonts w:ascii="Times New Roman" w:hAnsi="Times New Roman"/>
                <w:sz w:val="20"/>
                <w:szCs w:val="20"/>
              </w:rPr>
            </w:pPr>
            <w:r>
              <w:rPr>
                <w:rFonts w:ascii="Times New Roman" w:hAnsi="Times New Roman"/>
                <w:sz w:val="20"/>
                <w:szCs w:val="20"/>
              </w:rPr>
              <w:t xml:space="preserve">FFS: Other codebook types </w:t>
            </w:r>
          </w:p>
          <w:p>
            <w:pPr>
              <w:pStyle w:val="96"/>
              <w:numPr>
                <w:ilvl w:val="0"/>
                <w:numId w:val="3"/>
              </w:numPr>
              <w:snapToGrid w:val="0"/>
              <w:spacing w:after="0" w:line="240" w:lineRule="auto"/>
              <w:ind w:leftChars="0"/>
              <w:rPr>
                <w:rFonts w:ascii="Times New Roman" w:hAnsi="Times New Roman"/>
                <w:sz w:val="20"/>
                <w:szCs w:val="20"/>
              </w:rPr>
            </w:pPr>
            <w:r>
              <w:rPr>
                <w:rFonts w:ascii="Times New Roman" w:hAnsi="Times New Roman"/>
                <w:sz w:val="20"/>
                <w:szCs w:val="20"/>
              </w:rPr>
              <w:t xml:space="preserve">Note that RAN1 shall strive to finalize NCJT CSI enhancement with single reporting setting firstly. </w:t>
            </w:r>
          </w:p>
          <w:p>
            <w:pPr>
              <w:pStyle w:val="96"/>
              <w:numPr>
                <w:ilvl w:val="0"/>
                <w:numId w:val="3"/>
              </w:numPr>
              <w:snapToGrid w:val="0"/>
              <w:spacing w:after="0" w:line="240" w:lineRule="auto"/>
              <w:ind w:leftChars="0"/>
              <w:rPr>
                <w:rFonts w:ascii="Times New Roman" w:hAnsi="Times New Roman"/>
                <w:sz w:val="20"/>
                <w:szCs w:val="20"/>
              </w:rPr>
            </w:pPr>
            <w:r>
              <w:rPr>
                <w:rFonts w:ascii="Times New Roman" w:hAnsi="Times New Roman"/>
                <w:sz w:val="20"/>
                <w:szCs w:val="20"/>
              </w:rPr>
              <w:t>The support of larger than 32 ports across two CMRs is optional for a UE supporting Rel. 17 mTRP CSI</w:t>
            </w:r>
          </w:p>
          <w:p>
            <w:pPr>
              <w:pStyle w:val="96"/>
              <w:snapToGrid w:val="0"/>
              <w:spacing w:after="0" w:line="240" w:lineRule="auto"/>
              <w:ind w:left="360" w:leftChars="0"/>
              <w:rPr>
                <w:rFonts w:ascii="Times New Roman" w:hAnsi="Times New Roman"/>
                <w:sz w:val="20"/>
                <w:szCs w:val="20"/>
              </w:rPr>
            </w:pPr>
          </w:p>
          <w:p>
            <w:pPr>
              <w:pStyle w:val="96"/>
              <w:snapToGrid w:val="0"/>
              <w:spacing w:after="0" w:line="240" w:lineRule="auto"/>
              <w:ind w:left="360" w:leftChars="0"/>
              <w:rPr>
                <w:rFonts w:ascii="Times New Roman" w:hAnsi="Times New Roman"/>
                <w:sz w:val="20"/>
                <w:szCs w:val="20"/>
              </w:rPr>
            </w:pP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Agreement#2</w:t>
            </w:r>
          </w:p>
          <w:p>
            <w:pPr>
              <w:snapToGrid w:val="0"/>
              <w:spacing w:after="0" w:line="240" w:lineRule="auto"/>
              <w:rPr>
                <w:rFonts w:ascii="Times New Roman" w:hAnsi="Times New Roman"/>
                <w:b/>
                <w:bCs/>
                <w:sz w:val="20"/>
                <w:szCs w:val="20"/>
                <w:u w:val="single"/>
              </w:rPr>
            </w:pPr>
          </w:p>
          <w:p>
            <w:pPr>
              <w:snapToGrid w:val="0"/>
              <w:spacing w:line="240" w:lineRule="auto"/>
              <w:jc w:val="both"/>
              <w:rPr>
                <w:rFonts w:ascii="Times New Roman" w:hAnsi="Times New Roman"/>
                <w:sz w:val="20"/>
                <w:szCs w:val="20"/>
              </w:rPr>
            </w:pPr>
            <w:r>
              <w:rPr>
                <w:rFonts w:ascii="Times New Roman" w:hAnsi="Times New Roman"/>
                <w:sz w:val="20"/>
                <w:szCs w:val="20"/>
              </w:rPr>
              <w:t xml:space="preserve">For a CSI report associated with a Multi-TRP/panel NCJT measurement hypothesis configured by single CSI reporting setting, the UE is expected to report </w:t>
            </w:r>
          </w:p>
          <w:p>
            <w:pPr>
              <w:pStyle w:val="96"/>
              <w:numPr>
                <w:ilvl w:val="0"/>
                <w:numId w:val="4"/>
              </w:numPr>
              <w:snapToGrid w:val="0"/>
              <w:spacing w:line="240" w:lineRule="auto"/>
              <w:ind w:leftChars="0"/>
              <w:jc w:val="both"/>
              <w:rPr>
                <w:rFonts w:ascii="Times New Roman" w:hAnsi="Times New Roman"/>
                <w:sz w:val="20"/>
                <w:szCs w:val="20"/>
              </w:rPr>
            </w:pPr>
            <w:r>
              <w:rPr>
                <w:rFonts w:ascii="Times New Roman" w:hAnsi="Times New Roman" w:eastAsia="Malgun Gothic"/>
                <w:sz w:val="20"/>
                <w:szCs w:val="20"/>
              </w:rPr>
              <w:t>two RIs, two PMIs, two LIs and one CQI per codeword, for single-DCI based NCJT when the maximal transmission layers is less than or equal to 4</w:t>
            </w:r>
          </w:p>
          <w:p>
            <w:pPr>
              <w:pStyle w:val="96"/>
              <w:numPr>
                <w:ilvl w:val="1"/>
                <w:numId w:val="4"/>
              </w:numPr>
              <w:snapToGrid w:val="0"/>
              <w:spacing w:line="240" w:lineRule="auto"/>
              <w:ind w:leftChars="0"/>
              <w:jc w:val="both"/>
              <w:rPr>
                <w:rFonts w:ascii="Times New Roman" w:hAnsi="Times New Roman"/>
                <w:sz w:val="20"/>
                <w:szCs w:val="20"/>
              </w:rPr>
            </w:pPr>
            <w:r>
              <w:rPr>
                <w:rFonts w:ascii="Times New Roman" w:hAnsi="Times New Roman" w:eastAsia="Malgun Gothic"/>
                <w:sz w:val="20"/>
                <w:szCs w:val="20"/>
              </w:rPr>
              <w:t>FFS: Maximal transmission layers larger than 4</w:t>
            </w:r>
          </w:p>
          <w:p>
            <w:pPr>
              <w:pStyle w:val="96"/>
              <w:numPr>
                <w:ilvl w:val="1"/>
                <w:numId w:val="4"/>
              </w:numPr>
              <w:snapToGrid w:val="0"/>
              <w:spacing w:line="240" w:lineRule="auto"/>
              <w:ind w:leftChars="0"/>
              <w:jc w:val="both"/>
              <w:rPr>
                <w:rFonts w:ascii="Times New Roman" w:hAnsi="Times New Roman" w:eastAsia="Malgun Gothic"/>
                <w:sz w:val="20"/>
                <w:szCs w:val="20"/>
              </w:rPr>
            </w:pPr>
            <w:r>
              <w:rPr>
                <w:rFonts w:ascii="Times New Roman" w:hAnsi="Times New Roman" w:eastAsia="Malgun Gothic"/>
                <w:sz w:val="20"/>
                <w:szCs w:val="20"/>
              </w:rPr>
              <w:t>FFS: Whether/how a subset of above reporting quantities are allowed to be configured to the UE</w:t>
            </w:r>
          </w:p>
          <w:p>
            <w:pPr>
              <w:pStyle w:val="96"/>
              <w:numPr>
                <w:ilvl w:val="0"/>
                <w:numId w:val="5"/>
              </w:numPr>
              <w:snapToGrid w:val="0"/>
              <w:spacing w:line="240" w:lineRule="auto"/>
              <w:ind w:leftChars="0"/>
              <w:jc w:val="both"/>
              <w:rPr>
                <w:rFonts w:ascii="Times New Roman" w:hAnsi="Times New Roman" w:eastAsia="Malgun Gothic"/>
                <w:sz w:val="20"/>
                <w:szCs w:val="20"/>
              </w:rPr>
            </w:pPr>
            <w:r>
              <w:rPr>
                <w:rFonts w:ascii="Times New Roman" w:hAnsi="Times New Roman" w:eastAsia="Malgun Gothic"/>
                <w:sz w:val="20"/>
                <w:szCs w:val="20"/>
              </w:rPr>
              <w:t xml:space="preserve">FFS: whether/how to support two RIs, two PMIs, two LIs and two CQIs, for multi-DCI based NCJT </w:t>
            </w:r>
          </w:p>
          <w:p>
            <w:pPr>
              <w:pStyle w:val="96"/>
              <w:numPr>
                <w:ilvl w:val="0"/>
                <w:numId w:val="5"/>
              </w:numPr>
              <w:snapToGrid w:val="0"/>
              <w:spacing w:line="240" w:lineRule="auto"/>
              <w:ind w:leftChars="0"/>
              <w:jc w:val="both"/>
              <w:rPr>
                <w:rFonts w:ascii="Times New Roman" w:hAnsi="Times New Roman" w:eastAsia="Malgun Gothic"/>
                <w:sz w:val="20"/>
                <w:szCs w:val="20"/>
              </w:rPr>
            </w:pPr>
            <w:r>
              <w:rPr>
                <w:rFonts w:ascii="Times New Roman" w:hAnsi="Times New Roman" w:eastAsia="Malgun Gothic"/>
                <w:sz w:val="20"/>
                <w:szCs w:val="20"/>
              </w:rPr>
              <w:t xml:space="preserve">FFS: whether/how to support CRI(s) to be reported in a CSI </w:t>
            </w:r>
          </w:p>
          <w:p>
            <w:pPr>
              <w:pStyle w:val="96"/>
              <w:numPr>
                <w:ilvl w:val="0"/>
                <w:numId w:val="5"/>
              </w:numPr>
              <w:snapToGrid w:val="0"/>
              <w:spacing w:line="240" w:lineRule="auto"/>
              <w:ind w:leftChars="0"/>
              <w:jc w:val="both"/>
              <w:rPr>
                <w:rFonts w:ascii="Times New Roman" w:hAnsi="Times New Roman" w:eastAsia="Malgun Gothic"/>
                <w:sz w:val="20"/>
                <w:szCs w:val="20"/>
              </w:rPr>
            </w:pPr>
            <w:r>
              <w:rPr>
                <w:rFonts w:ascii="Times New Roman" w:hAnsi="Times New Roman" w:eastAsia="Malgun Gothic"/>
                <w:sz w:val="20"/>
                <w:szCs w:val="20"/>
              </w:rPr>
              <w:t>FFS: restrictions among reported CSI quantities, e.g. among reported RIs and PMIs</w:t>
            </w:r>
          </w:p>
          <w:p>
            <w:pPr>
              <w:pStyle w:val="96"/>
              <w:numPr>
                <w:ilvl w:val="0"/>
                <w:numId w:val="5"/>
              </w:numPr>
              <w:snapToGrid w:val="0"/>
              <w:spacing w:line="240" w:lineRule="auto"/>
              <w:ind w:leftChars="0"/>
              <w:jc w:val="both"/>
              <w:rPr>
                <w:rFonts w:ascii="Times New Roman" w:hAnsi="Times New Roman" w:eastAsia="Malgun Gothic"/>
                <w:sz w:val="20"/>
                <w:szCs w:val="20"/>
              </w:rPr>
            </w:pPr>
            <w:r>
              <w:rPr>
                <w:rFonts w:ascii="Times New Roman" w:hAnsi="Times New Roman" w:eastAsia="Malgun Gothic"/>
                <w:sz w:val="20"/>
                <w:szCs w:val="20"/>
              </w:rPr>
              <w:t>FFS: whether/how to support non-PMI based port-selection</w:t>
            </w:r>
          </w:p>
          <w:p>
            <w:pPr>
              <w:pStyle w:val="96"/>
              <w:numPr>
                <w:ilvl w:val="0"/>
                <w:numId w:val="5"/>
              </w:numPr>
              <w:snapToGrid w:val="0"/>
              <w:spacing w:line="240" w:lineRule="auto"/>
              <w:ind w:leftChars="0"/>
              <w:jc w:val="both"/>
              <w:rPr>
                <w:rFonts w:ascii="Times New Roman" w:hAnsi="Times New Roman" w:eastAsia="Batang"/>
                <w:sz w:val="20"/>
                <w:szCs w:val="20"/>
              </w:rPr>
            </w:pPr>
            <w:r>
              <w:rPr>
                <w:rFonts w:ascii="Times New Roman" w:hAnsi="Times New Roman" w:eastAsia="Malgun Gothic"/>
                <w:sz w:val="20"/>
                <w:szCs w:val="20"/>
              </w:rPr>
              <w:t>FFS: whether/how to support single value of reported LI</w:t>
            </w:r>
          </w:p>
          <w:p>
            <w:pPr>
              <w:snapToGrid w:val="0"/>
              <w:spacing w:line="240" w:lineRule="auto"/>
              <w:jc w:val="both"/>
              <w:rPr>
                <w:rFonts w:ascii="Times New Roman" w:hAnsi="Times New Roman"/>
                <w:sz w:val="20"/>
                <w:szCs w:val="20"/>
              </w:rPr>
            </w:pPr>
            <w:r>
              <w:rPr>
                <w:rFonts w:ascii="Times New Roman" w:hAnsi="Times New Roman"/>
                <w:sz w:val="20"/>
                <w:szCs w:val="20"/>
              </w:rPr>
              <w:t>Note that other NCJT CSI measurement/reporting enhancement for other scenarios is not precluded, e.g. for HST-SFN</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Agreement#3</w:t>
            </w:r>
          </w:p>
          <w:p>
            <w:pPr>
              <w:autoSpaceDE w:val="0"/>
              <w:autoSpaceDN w:val="0"/>
              <w:adjustRightInd w:val="0"/>
              <w:snapToGrid w:val="0"/>
              <w:spacing w:line="240" w:lineRule="auto"/>
              <w:jc w:val="both"/>
              <w:rPr>
                <w:rFonts w:ascii="Times New Roman" w:hAnsi="Times New Roman"/>
                <w:sz w:val="20"/>
                <w:szCs w:val="20"/>
              </w:rPr>
            </w:pPr>
            <w:r>
              <w:rPr>
                <w:rFonts w:ascii="Times New Roman" w:hAnsi="Times New Roman"/>
                <w:sz w:val="20"/>
                <w:szCs w:val="20"/>
              </w:rPr>
              <w:t xml:space="preserve">For a CSI reporting setting, support one or more of the following UE reporting mechanism: </w:t>
            </w:r>
          </w:p>
          <w:p>
            <w:pPr>
              <w:pStyle w:val="96"/>
              <w:numPr>
                <w:ilvl w:val="0"/>
                <w:numId w:val="6"/>
              </w:numPr>
              <w:autoSpaceDE w:val="0"/>
              <w:autoSpaceDN w:val="0"/>
              <w:adjustRightInd w:val="0"/>
              <w:snapToGrid w:val="0"/>
              <w:spacing w:line="240" w:lineRule="auto"/>
              <w:ind w:leftChars="0"/>
              <w:jc w:val="both"/>
              <w:rPr>
                <w:rFonts w:ascii="Times New Roman" w:hAnsi="Times New Roman" w:eastAsia="Malgun Gothic"/>
                <w:sz w:val="20"/>
                <w:szCs w:val="20"/>
              </w:rPr>
            </w:pPr>
            <w:r>
              <w:rPr>
                <w:rFonts w:ascii="Times New Roman" w:hAnsi="Times New Roman" w:eastAsia="Malgun Gothic"/>
                <w:sz w:val="20"/>
                <w:szCs w:val="20"/>
              </w:rPr>
              <w:t xml:space="preserve">Alt 1: the UE can be expected to report one CSI associated with the best single-TRP measurement hypothesis and one CSI associated with the best NCJT measurement hypothesis, if configured  </w:t>
            </w:r>
          </w:p>
          <w:p>
            <w:pPr>
              <w:pStyle w:val="96"/>
              <w:numPr>
                <w:ilvl w:val="1"/>
                <w:numId w:val="6"/>
              </w:numPr>
              <w:autoSpaceDE w:val="0"/>
              <w:autoSpaceDN w:val="0"/>
              <w:adjustRightInd w:val="0"/>
              <w:snapToGrid w:val="0"/>
              <w:spacing w:line="240" w:lineRule="auto"/>
              <w:ind w:leftChars="0"/>
              <w:jc w:val="both"/>
              <w:rPr>
                <w:rFonts w:ascii="Times New Roman" w:hAnsi="Times New Roman" w:eastAsia="Malgun Gothic"/>
                <w:sz w:val="20"/>
                <w:szCs w:val="20"/>
              </w:rPr>
            </w:pPr>
            <w:r>
              <w:rPr>
                <w:rFonts w:ascii="Times New Roman" w:hAnsi="Times New Roman" w:eastAsia="Malgun Gothic"/>
                <w:sz w:val="20"/>
                <w:szCs w:val="20"/>
              </w:rPr>
              <w:t>FFS omission of CSI associated with NCJT measurement hypothesis</w:t>
            </w:r>
          </w:p>
          <w:p>
            <w:pPr>
              <w:pStyle w:val="96"/>
              <w:numPr>
                <w:ilvl w:val="0"/>
                <w:numId w:val="6"/>
              </w:numPr>
              <w:autoSpaceDE w:val="0"/>
              <w:autoSpaceDN w:val="0"/>
              <w:adjustRightInd w:val="0"/>
              <w:snapToGrid w:val="0"/>
              <w:spacing w:line="240" w:lineRule="auto"/>
              <w:ind w:leftChars="0"/>
              <w:jc w:val="both"/>
              <w:rPr>
                <w:rFonts w:ascii="Times New Roman" w:hAnsi="Times New Roman" w:eastAsia="Malgun Gothic"/>
                <w:sz w:val="20"/>
                <w:szCs w:val="20"/>
              </w:rPr>
            </w:pPr>
            <w:r>
              <w:rPr>
                <w:rFonts w:ascii="Times New Roman" w:hAnsi="Times New Roman" w:eastAsia="Malgun Gothic"/>
                <w:sz w:val="20"/>
                <w:szCs w:val="20"/>
              </w:rPr>
              <w:t>Alt 2: the UE can be expected to report one CSI associated with the best one among NCJT and/or single-TRP measurement hypotheses, if configured</w:t>
            </w:r>
          </w:p>
          <w:p>
            <w:pPr>
              <w:pStyle w:val="96"/>
              <w:numPr>
                <w:ilvl w:val="1"/>
                <w:numId w:val="6"/>
              </w:numPr>
              <w:autoSpaceDE w:val="0"/>
              <w:autoSpaceDN w:val="0"/>
              <w:adjustRightInd w:val="0"/>
              <w:snapToGrid w:val="0"/>
              <w:spacing w:line="240" w:lineRule="auto"/>
              <w:ind w:leftChars="0"/>
              <w:jc w:val="both"/>
              <w:rPr>
                <w:rFonts w:ascii="Times New Roman" w:hAnsi="Times New Roman" w:eastAsia="Malgun Gothic"/>
                <w:sz w:val="20"/>
                <w:szCs w:val="20"/>
              </w:rPr>
            </w:pPr>
            <w:r>
              <w:rPr>
                <w:rFonts w:ascii="Times New Roman" w:hAnsi="Times New Roman" w:eastAsia="Malgun Gothic"/>
                <w:sz w:val="20"/>
                <w:szCs w:val="20"/>
              </w:rPr>
              <w:t>FFS how to report recommended measurement hypothesis associated with that CSI report</w:t>
            </w:r>
          </w:p>
          <w:p>
            <w:pPr>
              <w:pStyle w:val="96"/>
              <w:numPr>
                <w:ilvl w:val="0"/>
                <w:numId w:val="6"/>
              </w:numPr>
              <w:autoSpaceDE w:val="0"/>
              <w:autoSpaceDN w:val="0"/>
              <w:adjustRightInd w:val="0"/>
              <w:snapToGrid w:val="0"/>
              <w:spacing w:line="240" w:lineRule="auto"/>
              <w:ind w:leftChars="0"/>
              <w:jc w:val="both"/>
              <w:rPr>
                <w:rFonts w:ascii="Times New Roman" w:hAnsi="Times New Roman" w:eastAsia="Malgun Gothic"/>
                <w:sz w:val="20"/>
                <w:szCs w:val="20"/>
              </w:rPr>
            </w:pPr>
            <w:r>
              <w:rPr>
                <w:rFonts w:ascii="Times New Roman" w:hAnsi="Times New Roman" w:eastAsia="Malgun Gothic"/>
                <w:sz w:val="20"/>
                <w:szCs w:val="20"/>
              </w:rPr>
              <w:t xml:space="preserve">Alt 3:  the UE can be expected to report two CSIs associated with the two best single-TRP measurement hypotheses associated with CMRs from two TRPs and one CSI associated with the best NCJT measurement hypothesis, if configured  </w:t>
            </w:r>
          </w:p>
          <w:p>
            <w:pPr>
              <w:pStyle w:val="96"/>
              <w:numPr>
                <w:ilvl w:val="1"/>
                <w:numId w:val="6"/>
              </w:numPr>
              <w:autoSpaceDE w:val="0"/>
              <w:autoSpaceDN w:val="0"/>
              <w:adjustRightInd w:val="0"/>
              <w:snapToGrid w:val="0"/>
              <w:spacing w:line="240" w:lineRule="auto"/>
              <w:ind w:leftChars="0"/>
              <w:jc w:val="both"/>
              <w:rPr>
                <w:rFonts w:ascii="Times New Roman" w:hAnsi="Times New Roman" w:eastAsia="Malgun Gothic"/>
                <w:sz w:val="20"/>
                <w:szCs w:val="20"/>
              </w:rPr>
            </w:pPr>
            <w:r>
              <w:rPr>
                <w:rFonts w:ascii="Times New Roman" w:hAnsi="Times New Roman" w:eastAsia="Malgun Gothic"/>
                <w:sz w:val="20"/>
                <w:szCs w:val="20"/>
              </w:rPr>
              <w:t>FFS omission of CSI associated with NCJT measurement hypothesis</w:t>
            </w:r>
          </w:p>
          <w:p>
            <w:pPr>
              <w:pStyle w:val="96"/>
              <w:numPr>
                <w:ilvl w:val="1"/>
                <w:numId w:val="6"/>
              </w:numPr>
              <w:autoSpaceDE w:val="0"/>
              <w:autoSpaceDN w:val="0"/>
              <w:adjustRightInd w:val="0"/>
              <w:snapToGrid w:val="0"/>
              <w:spacing w:line="240" w:lineRule="auto"/>
              <w:ind w:leftChars="0"/>
              <w:jc w:val="both"/>
              <w:rPr>
                <w:rFonts w:ascii="Times New Roman" w:hAnsi="Times New Roman" w:eastAsia="Malgun Gothic"/>
                <w:sz w:val="20"/>
                <w:szCs w:val="20"/>
              </w:rPr>
            </w:pPr>
            <w:r>
              <w:rPr>
                <w:rFonts w:ascii="Times New Roman" w:hAnsi="Times New Roman" w:eastAsia="Malgun Gothic"/>
                <w:sz w:val="20"/>
                <w:szCs w:val="20"/>
              </w:rPr>
              <w:t>Whether/How to report a subset of the CSI report quantities</w:t>
            </w:r>
          </w:p>
          <w:p>
            <w:pPr>
              <w:pStyle w:val="96"/>
              <w:numPr>
                <w:ilvl w:val="0"/>
                <w:numId w:val="6"/>
              </w:numPr>
              <w:autoSpaceDE w:val="0"/>
              <w:autoSpaceDN w:val="0"/>
              <w:adjustRightInd w:val="0"/>
              <w:snapToGrid w:val="0"/>
              <w:spacing w:line="240" w:lineRule="auto"/>
              <w:ind w:leftChars="0"/>
              <w:jc w:val="both"/>
              <w:rPr>
                <w:rFonts w:ascii="Times New Roman" w:hAnsi="Times New Roman" w:eastAsia="Malgun Gothic"/>
                <w:sz w:val="20"/>
                <w:szCs w:val="20"/>
              </w:rPr>
            </w:pPr>
            <w:r>
              <w:rPr>
                <w:rFonts w:ascii="Times New Roman" w:hAnsi="Times New Roman" w:eastAsia="Malgun Gothic"/>
                <w:sz w:val="20"/>
                <w:szCs w:val="20"/>
              </w:rPr>
              <w:t xml:space="preserve">FFS: CSI reporting configuration details </w:t>
            </w:r>
          </w:p>
          <w:p>
            <w:pPr>
              <w:snapToGrid w:val="0"/>
              <w:spacing w:line="240" w:lineRule="auto"/>
              <w:jc w:val="both"/>
              <w:rPr>
                <w:rFonts w:ascii="Times New Roman" w:hAnsi="Times New Roman"/>
                <w:sz w:val="20"/>
                <w:szCs w:val="20"/>
              </w:rPr>
            </w:pPr>
            <w:r>
              <w:rPr>
                <w:rFonts w:ascii="Times New Roman" w:hAnsi="Times New Roman" w:eastAsia="Malgun Gothic"/>
                <w:sz w:val="20"/>
                <w:szCs w:val="20"/>
              </w:rPr>
              <w:t>Note supporting which one or more mechanisms is to be determined in RAN1#104-e</w:t>
            </w:r>
          </w:p>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Agreement#4</w:t>
            </w:r>
          </w:p>
          <w:p>
            <w:pPr>
              <w:snapToGrid w:val="0"/>
              <w:spacing w:line="240" w:lineRule="auto"/>
              <w:jc w:val="both"/>
              <w:rPr>
                <w:rFonts w:ascii="Times New Roman" w:hAnsi="Times New Roman" w:eastAsia="Malgun Gothic"/>
                <w:sz w:val="20"/>
                <w:szCs w:val="20"/>
                <w:lang w:eastAsia="ko-KR"/>
              </w:rPr>
            </w:pPr>
            <w:r>
              <w:rPr>
                <w:rFonts w:ascii="Times New Roman" w:hAnsi="Times New Roman" w:eastAsia="Malgun Gothic"/>
                <w:sz w:val="20"/>
                <w:szCs w:val="20"/>
                <w:lang w:eastAsia="ko-KR"/>
              </w:rPr>
              <w:t>For NCJT CSI measurement configured with single reporting setting, study following measurement resource configuration/association mechanism</w:t>
            </w:r>
          </w:p>
          <w:p>
            <w:pPr>
              <w:pStyle w:val="96"/>
              <w:numPr>
                <w:ilvl w:val="0"/>
                <w:numId w:val="7"/>
              </w:numPr>
              <w:snapToGrid w:val="0"/>
              <w:spacing w:line="240" w:lineRule="auto"/>
              <w:ind w:leftChars="0"/>
              <w:jc w:val="both"/>
              <w:rPr>
                <w:rFonts w:ascii="Times New Roman" w:hAnsi="Times New Roman" w:eastAsia="Batang"/>
                <w:i/>
                <w:iCs/>
                <w:sz w:val="20"/>
                <w:szCs w:val="20"/>
              </w:rPr>
            </w:pPr>
            <w:r>
              <w:rPr>
                <w:rFonts w:ascii="Times New Roman" w:hAnsi="Times New Roman" w:eastAsia="Malgun Gothic"/>
                <w:sz w:val="20"/>
                <w:szCs w:val="20"/>
                <w:lang w:eastAsia="ko-KR"/>
              </w:rPr>
              <w:t xml:space="preserve">Whether/how to support interference measurement based on NZP CSI-RS given by </w:t>
            </w:r>
            <w:r>
              <w:rPr>
                <w:rFonts w:ascii="Times New Roman" w:hAnsi="Times New Roman"/>
                <w:i/>
                <w:iCs/>
                <w:sz w:val="20"/>
                <w:szCs w:val="20"/>
              </w:rPr>
              <w:t xml:space="preserve">nzp-CSI-RS-ResourcesForInterference or </w:t>
            </w:r>
            <w:r>
              <w:rPr>
                <w:rFonts w:ascii="Times New Roman" w:hAnsi="Times New Roman"/>
                <w:iCs/>
                <w:sz w:val="20"/>
                <w:szCs w:val="20"/>
              </w:rPr>
              <w:t>based on CSI-IM given by</w:t>
            </w:r>
            <w:r>
              <w:rPr>
                <w:rFonts w:ascii="Times New Roman" w:hAnsi="Times New Roman"/>
                <w:i/>
                <w:iCs/>
                <w:sz w:val="20"/>
                <w:szCs w:val="20"/>
              </w:rPr>
              <w:t xml:space="preserve"> csi-IM-ResourcesForInterference</w:t>
            </w:r>
          </w:p>
          <w:p>
            <w:pPr>
              <w:pStyle w:val="96"/>
              <w:numPr>
                <w:ilvl w:val="0"/>
                <w:numId w:val="7"/>
              </w:numPr>
              <w:snapToGrid w:val="0"/>
              <w:spacing w:line="240" w:lineRule="auto"/>
              <w:ind w:leftChars="0"/>
              <w:jc w:val="both"/>
              <w:rPr>
                <w:rFonts w:ascii="Times New Roman" w:hAnsi="Times New Roman" w:eastAsia="Malgun Gothic"/>
                <w:sz w:val="20"/>
                <w:szCs w:val="20"/>
              </w:rPr>
            </w:pPr>
            <w:r>
              <w:rPr>
                <w:rFonts w:ascii="Times New Roman" w:hAnsi="Times New Roman" w:eastAsia="Malgun Gothic"/>
                <w:sz w:val="20"/>
                <w:szCs w:val="20"/>
                <w:lang w:eastAsia="ko-KR"/>
              </w:rPr>
              <w:t>Whether/how to interpret measurement based on CMRs associated with different TRPs/TCI states respectively for a NCJT</w:t>
            </w:r>
            <w:r>
              <w:rPr>
                <w:rFonts w:ascii="Times New Roman" w:hAnsi="Times New Roman" w:eastAsia="Malgun Gothic"/>
                <w:sz w:val="20"/>
                <w:szCs w:val="20"/>
              </w:rPr>
              <w:t xml:space="preserve"> measurement </w:t>
            </w:r>
            <w:r>
              <w:rPr>
                <w:rFonts w:ascii="Times New Roman" w:hAnsi="Times New Roman" w:eastAsia="Malgun Gothic"/>
                <w:sz w:val="20"/>
                <w:szCs w:val="20"/>
                <w:lang w:eastAsia="ko-KR"/>
              </w:rPr>
              <w:t>hypothesis</w:t>
            </w:r>
          </w:p>
          <w:p>
            <w:pPr>
              <w:pStyle w:val="96"/>
              <w:numPr>
                <w:ilvl w:val="0"/>
                <w:numId w:val="7"/>
              </w:numPr>
              <w:snapToGrid w:val="0"/>
              <w:spacing w:line="240" w:lineRule="auto"/>
              <w:ind w:leftChars="0"/>
              <w:jc w:val="both"/>
              <w:rPr>
                <w:rFonts w:ascii="Times New Roman" w:hAnsi="Times New Roman" w:eastAsia="Malgun Gothic"/>
                <w:sz w:val="20"/>
                <w:szCs w:val="20"/>
                <w:lang w:eastAsia="ko-KR"/>
              </w:rPr>
            </w:pPr>
            <w:r>
              <w:rPr>
                <w:rFonts w:ascii="Times New Roman" w:hAnsi="Times New Roman" w:eastAsia="Malgun Gothic"/>
                <w:sz w:val="20"/>
                <w:szCs w:val="20"/>
                <w:lang w:eastAsia="ko-KR"/>
              </w:rPr>
              <w:t xml:space="preserve">CMR/IMR resource configuration restrictions/associations, e.g. for reference resource/time domain behavior/frequency domain behavior   </w:t>
            </w:r>
          </w:p>
          <w:p>
            <w:pPr>
              <w:pStyle w:val="96"/>
              <w:numPr>
                <w:ilvl w:val="0"/>
                <w:numId w:val="7"/>
              </w:numPr>
              <w:snapToGrid w:val="0"/>
              <w:spacing w:line="240" w:lineRule="auto"/>
              <w:ind w:leftChars="0"/>
              <w:jc w:val="both"/>
              <w:rPr>
                <w:rFonts w:ascii="Times New Roman" w:hAnsi="Times New Roman"/>
                <w:b/>
                <w:bCs/>
                <w:sz w:val="20"/>
                <w:szCs w:val="20"/>
                <w:u w:val="single"/>
              </w:rPr>
            </w:pPr>
            <w:r>
              <w:rPr>
                <w:rFonts w:ascii="Times New Roman" w:hAnsi="Times New Roman" w:eastAsia="Malgun Gothic"/>
                <w:sz w:val="20"/>
                <w:szCs w:val="20"/>
                <w:lang w:eastAsia="ko-KR"/>
              </w:rPr>
              <w:t>Note that RAN1 shall strive for commonality of CSI measurement/reporting mechanisms for NCJT CSI measurement configured by single or two reporting settings</w:t>
            </w:r>
          </w:p>
          <w:p>
            <w:pPr>
              <w:pStyle w:val="96"/>
              <w:snapToGrid w:val="0"/>
              <w:spacing w:after="0" w:line="240" w:lineRule="auto"/>
              <w:ind w:left="0" w:leftChars="0"/>
              <w:rPr>
                <w:rFonts w:ascii="Times New Roman" w:hAnsi="Times New Roman"/>
                <w:sz w:val="20"/>
                <w:szCs w:val="20"/>
              </w:rPr>
            </w:pPr>
          </w:p>
        </w:tc>
      </w:tr>
    </w:tbl>
    <w:p>
      <w:pPr>
        <w:snapToGrid w:val="0"/>
      </w:pPr>
    </w:p>
    <w:p>
      <w:pPr>
        <w:pStyle w:val="4"/>
        <w:numPr>
          <w:ilvl w:val="0"/>
          <w:numId w:val="8"/>
        </w:numPr>
        <w:snapToGrid w:val="0"/>
        <w:spacing w:before="180" w:beforeLines="50" w:after="180" w:afterLines="50" w:line="240" w:lineRule="auto"/>
        <w:rPr>
          <w:rFonts w:ascii="Times New Roman" w:hAnsi="Times New Roman"/>
          <w:sz w:val="20"/>
          <w:szCs w:val="20"/>
          <w:lang w:val="en-US"/>
        </w:rPr>
      </w:pPr>
      <w:r>
        <w:rPr>
          <w:rFonts w:ascii="Times New Roman" w:hAnsi="Times New Roman"/>
          <w:sz w:val="20"/>
          <w:szCs w:val="20"/>
          <w:lang w:val="en-US"/>
        </w:rPr>
        <w:t>CMR configuration</w:t>
      </w:r>
    </w:p>
    <w:p>
      <w:pPr>
        <w:widowControl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As described in above Agreement#1, CSI-RS resources within one resource set can be from different TRPs for MTRP CSI calculation. In FR2, to joint calculate RI, PMI and CQI for CSI-RS resources from two TRPs, the inter-beam interference should be considered. Since UE may only supports two receive beams at a given time, one CSI-RS resource from TRP1 should be paired with another CSI-RS resource from TRP2 for mutual beam interference calculation. </w:t>
      </w:r>
    </w:p>
    <w:p>
      <w:pPr>
        <w:widowControl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Figure 2-1 elaborates a typical scenario for MTRP CSI-RS resource configuration</w:t>
      </w:r>
      <w:r>
        <w:rPr>
          <w:rFonts w:ascii="Times New Roman" w:hAnsi="Times New Roman"/>
          <w:sz w:val="20"/>
          <w:szCs w:val="20"/>
        </w:rPr>
        <w:t>,</w:t>
      </w:r>
      <w:r>
        <w:rPr>
          <w:rFonts w:hint="eastAsia" w:ascii="Times New Roman" w:hAnsi="Times New Roman"/>
          <w:sz w:val="20"/>
          <w:szCs w:val="20"/>
        </w:rPr>
        <w:t xml:space="preserve"> where CSI-RS resources 1-4 are from TRP1, and CSI-RS resource 5-8 are from TRP2, and it is assumed that beam(or TCI state) 1-8 are configured for CSI-RS resource 1-8 respectively. In the figure, CSI-RS resource 1 and 5 are paired for MTRP CSI feedback, CSI-RS resource 2 and 6 are another pair for MTRP CSI feedback, all remaining CSI-RS resource 3, 4, 7, 8 are for single TRP CSI feedback.   </w:t>
      </w:r>
    </w:p>
    <w:p>
      <w:pPr>
        <w:snapToGrid w:val="0"/>
        <w:jc w:val="center"/>
      </w:pPr>
      <w:r>
        <w:drawing>
          <wp:inline distT="0" distB="0" distL="114300" distR="114300">
            <wp:extent cx="2857500" cy="1285875"/>
            <wp:effectExtent l="0" t="0" r="0" b="9525"/>
            <wp:docPr id="5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14"/>
                    <pic:cNvPicPr>
                      <a:picLocks noChangeAspect="1"/>
                    </pic:cNvPicPr>
                  </pic:nvPicPr>
                  <pic:blipFill>
                    <a:blip r:embed="rId5"/>
                    <a:stretch>
                      <a:fillRect/>
                    </a:stretch>
                  </pic:blipFill>
                  <pic:spPr>
                    <a:xfrm>
                      <a:off x="0" y="0"/>
                      <a:ext cx="2857500" cy="1285875"/>
                    </a:xfrm>
                    <a:prstGeom prst="rect">
                      <a:avLst/>
                    </a:prstGeom>
                    <a:noFill/>
                    <a:ln>
                      <a:noFill/>
                    </a:ln>
                  </pic:spPr>
                </pic:pic>
              </a:graphicData>
            </a:graphic>
          </wp:inline>
        </w:drawing>
      </w:r>
    </w:p>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Figure 2-1 Illustration of MTRP CSI-RS resource configuration</w:t>
      </w:r>
    </w:p>
    <w:p>
      <w:pPr>
        <w:widowControl w:val="0"/>
        <w:snapToGrid w:val="0"/>
        <w:spacing w:before="180" w:beforeLines="50" w:after="0" w:line="240" w:lineRule="auto"/>
        <w:jc w:val="both"/>
        <w:rPr>
          <w:rFonts w:ascii="Times New Roman" w:hAnsi="Times New Roman"/>
          <w:sz w:val="20"/>
          <w:szCs w:val="20"/>
        </w:rPr>
      </w:pPr>
      <w:r>
        <w:rPr>
          <w:rFonts w:hint="eastAsia" w:ascii="Times New Roman" w:hAnsi="Times New Roman"/>
          <w:sz w:val="20"/>
          <w:szCs w:val="20"/>
        </w:rPr>
        <w:t>For example, after paired CSI-RS resource 1 and 5, UE will use both receive beam r1 and receive beam r5 to measure CSI-RS resource 1 and resource 5. For CSI calculation</w:t>
      </w:r>
      <w:r>
        <w:rPr>
          <w:rFonts w:ascii="Times New Roman" w:hAnsi="Times New Roman"/>
          <w:sz w:val="20"/>
          <w:szCs w:val="20"/>
        </w:rPr>
        <w:t xml:space="preserve"> based on</w:t>
      </w:r>
      <w:r>
        <w:rPr>
          <w:rFonts w:hint="eastAsia" w:ascii="Times New Roman" w:hAnsi="Times New Roman"/>
          <w:sz w:val="20"/>
          <w:szCs w:val="20"/>
        </w:rPr>
        <w:t xml:space="preserve"> </w:t>
      </w:r>
      <w:r>
        <w:rPr>
          <w:rFonts w:ascii="Times New Roman" w:hAnsi="Times New Roman"/>
          <w:sz w:val="20"/>
          <w:szCs w:val="20"/>
        </w:rPr>
        <w:t xml:space="preserve">channel measurement in </w:t>
      </w:r>
      <w:r>
        <w:rPr>
          <w:rFonts w:hint="eastAsia" w:ascii="Times New Roman" w:hAnsi="Times New Roman"/>
          <w:sz w:val="20"/>
          <w:szCs w:val="20"/>
        </w:rPr>
        <w:t>CSI-RS resource 1, the interference from CSI-RS resource 5 should be considered. Beam and precoder used for CSI-RS resource 5 should be considered in order to simulate interference from TRP 2 as the inter-layer interference for SDM PDSCH transmission. Likewise, for CSI calculation on CSI-RS resource 5, CSI-RS resource 1 is interference. Beam and precoder used for CSI-RS resource 1 should also be considered. Therefore, SINR for two CSI-RS resources 1 and 5 can be</w:t>
      </w:r>
      <w:r>
        <w:rPr>
          <w:rFonts w:ascii="Times New Roman" w:hAnsi="Times New Roman"/>
          <w:sz w:val="20"/>
          <w:szCs w:val="20"/>
        </w:rPr>
        <w:t xml:space="preserve"> derived</w:t>
      </w:r>
      <w:r>
        <w:rPr>
          <w:rFonts w:hint="eastAsia" w:ascii="Times New Roman" w:hAnsi="Times New Roman"/>
          <w:sz w:val="20"/>
          <w:szCs w:val="20"/>
        </w:rPr>
        <w:t xml:space="preserve"> as follows</w:t>
      </w:r>
      <w:r>
        <w:rPr>
          <w:rFonts w:ascii="Times New Roman" w:hAnsi="Times New Roman"/>
          <w:sz w:val="20"/>
          <w:szCs w:val="20"/>
        </w:rPr>
        <w:t xml:space="preserve">. </w:t>
      </w:r>
    </w:p>
    <w:p>
      <w:pPr>
        <w:numPr>
          <w:ilvl w:val="0"/>
          <w:numId w:val="9"/>
        </w:numPr>
        <w:snapToGrid w:val="0"/>
        <w:spacing w:after="0" w:line="240" w:lineRule="auto"/>
        <w:ind w:left="839"/>
        <w:rPr>
          <w:rFonts w:ascii="Times New Roman" w:hAnsi="Times New Roman" w:eastAsia="宋体"/>
          <w:sz w:val="20"/>
          <w:szCs w:val="20"/>
        </w:rPr>
      </w:pPr>
      <w:r>
        <w:rPr>
          <w:rFonts w:ascii="Times New Roman" w:hAnsi="Times New Roman"/>
          <w:sz w:val="20"/>
          <w:szCs w:val="20"/>
        </w:rPr>
        <w:t xml:space="preserve">For CSI-RS resource </w:t>
      </w:r>
      <w:r>
        <w:rPr>
          <w:rFonts w:hint="eastAsia" w:ascii="Times New Roman" w:hAnsi="Times New Roman"/>
          <w:sz w:val="20"/>
          <w:szCs w:val="20"/>
        </w:rPr>
        <w:t>1</w:t>
      </w:r>
      <w:r>
        <w:rPr>
          <w:rFonts w:ascii="Times New Roman" w:hAnsi="Times New Roman"/>
          <w:sz w:val="20"/>
          <w:szCs w:val="20"/>
        </w:rPr>
        <w:t xml:space="preserve">:  </w:t>
      </w:r>
      <w:r>
        <w:rPr>
          <w:rFonts w:ascii="Times New Roman" w:hAnsi="Times New Roman"/>
          <w:position w:val="-36"/>
          <w:sz w:val="20"/>
          <w:szCs w:val="20"/>
        </w:rPr>
        <w:object>
          <v:shape id="_x0000_i1025" o:spt="75" type="#_x0000_t75" style="height:41.95pt;width:107.4pt;" o:ole="t" filled="f" o:preferrelative="t" stroked="f" coordsize="21600,21600">
            <v:path/>
            <v:fill on="f" focussize="0,0"/>
            <v:stroke on="f"/>
            <v:imagedata r:id="rId7" o:title=""/>
            <o:lock v:ext="edit" aspectratio="t"/>
            <w10:wrap type="none"/>
            <w10:anchorlock/>
          </v:shape>
          <o:OLEObject Type="Embed" ProgID="Equation.3" ShapeID="_x0000_i1025" DrawAspect="Content" ObjectID="_1468075725" r:id="rId6">
            <o:LockedField>false</o:LockedField>
          </o:OLEObject>
        </w:object>
      </w:r>
      <w:r>
        <w:rPr>
          <w:rFonts w:hint="eastAsia" w:ascii="Times New Roman" w:hAnsi="Times New Roman"/>
          <w:position w:val="-36"/>
          <w:sz w:val="20"/>
          <w:szCs w:val="20"/>
        </w:rPr>
        <w:t xml:space="preserve"> </w:t>
      </w:r>
    </w:p>
    <w:p>
      <w:pPr>
        <w:numPr>
          <w:ilvl w:val="0"/>
          <w:numId w:val="9"/>
        </w:numPr>
        <w:snapToGrid w:val="0"/>
        <w:spacing w:after="0" w:line="240" w:lineRule="auto"/>
        <w:ind w:left="839"/>
        <w:rPr>
          <w:rFonts w:ascii="Times New Roman" w:hAnsi="Times New Roman" w:eastAsia="宋体"/>
          <w:sz w:val="20"/>
          <w:szCs w:val="20"/>
        </w:rPr>
      </w:pPr>
      <w:r>
        <w:rPr>
          <w:rFonts w:ascii="Times New Roman" w:hAnsi="Times New Roman"/>
          <w:sz w:val="20"/>
          <w:szCs w:val="20"/>
        </w:rPr>
        <w:t xml:space="preserve">For CSI-RS resource </w:t>
      </w:r>
      <w:r>
        <w:rPr>
          <w:rFonts w:hint="eastAsia" w:ascii="Times New Roman" w:hAnsi="Times New Roman"/>
          <w:sz w:val="20"/>
          <w:szCs w:val="20"/>
        </w:rPr>
        <w:t>5</w:t>
      </w:r>
      <w:r>
        <w:rPr>
          <w:rFonts w:ascii="Times New Roman" w:hAnsi="Times New Roman"/>
          <w:sz w:val="20"/>
          <w:szCs w:val="20"/>
        </w:rPr>
        <w:t xml:space="preserve">:  </w:t>
      </w:r>
      <w:r>
        <w:rPr>
          <w:rFonts w:ascii="Times New Roman" w:hAnsi="Times New Roman"/>
          <w:position w:val="-36"/>
          <w:sz w:val="20"/>
          <w:szCs w:val="20"/>
        </w:rPr>
        <w:object>
          <v:shape id="_x0000_i1026" o:spt="75" type="#_x0000_t75" style="height:41.95pt;width:108.2pt;" o:ole="t" filled="f" o:preferrelative="t" stroked="f" coordsize="21600,21600">
            <v:path/>
            <v:fill on="f" focussize="0,0"/>
            <v:stroke on="f"/>
            <v:imagedata r:id="rId9" o:title=""/>
            <o:lock v:ext="edit" aspectratio="t"/>
            <w10:wrap type="none"/>
            <w10:anchorlock/>
          </v:shape>
          <o:OLEObject Type="Embed" ProgID="Equation.3" ShapeID="_x0000_i1026" DrawAspect="Content" ObjectID="_1468075726" r:id="rId8">
            <o:LockedField>false</o:LockedField>
          </o:OLEObject>
        </w:object>
      </w:r>
    </w:p>
    <w:p>
      <w:pPr>
        <w:snapToGrid w:val="0"/>
        <w:spacing w:after="180" w:afterLines="50" w:line="240" w:lineRule="auto"/>
        <w:jc w:val="both"/>
        <w:rPr>
          <w:rFonts w:ascii="Times New Roman" w:hAnsi="Times New Roman"/>
          <w:sz w:val="20"/>
          <w:szCs w:val="20"/>
        </w:rPr>
      </w:pPr>
      <w:r>
        <w:rPr>
          <w:rFonts w:ascii="Times New Roman" w:hAnsi="Times New Roman"/>
          <w:sz w:val="20"/>
          <w:szCs w:val="20"/>
        </w:rPr>
        <w:t xml:space="preserve">wherein </w:t>
      </w:r>
      <w:r>
        <w:rPr>
          <w:rFonts w:hint="eastAsia" w:ascii="Times New Roman" w:hAnsi="Times New Roman"/>
          <w:sz w:val="20"/>
          <w:szCs w:val="20"/>
          <w:lang w:val="en-US" w:eastAsia="zh-CN"/>
        </w:rPr>
        <w:t>r</w:t>
      </w:r>
      <w:r>
        <w:rPr>
          <w:rFonts w:ascii="Times New Roman" w:hAnsi="Times New Roman"/>
          <w:sz w:val="20"/>
          <w:szCs w:val="20"/>
        </w:rPr>
        <w:t xml:space="preserve">i means </w:t>
      </w:r>
      <w:r>
        <w:rPr>
          <w:rFonts w:hint="eastAsia" w:ascii="Times New Roman" w:hAnsi="Times New Roman"/>
          <w:sz w:val="20"/>
          <w:szCs w:val="20"/>
        </w:rPr>
        <w:t xml:space="preserve">UE receive </w:t>
      </w:r>
      <w:r>
        <w:rPr>
          <w:rFonts w:ascii="Times New Roman" w:hAnsi="Times New Roman"/>
          <w:sz w:val="20"/>
          <w:szCs w:val="20"/>
        </w:rPr>
        <w:t>beam</w:t>
      </w:r>
      <w:r>
        <w:rPr>
          <w:rFonts w:hint="eastAsia" w:ascii="Times New Roman" w:hAnsi="Times New Roman"/>
          <w:sz w:val="20"/>
          <w:szCs w:val="20"/>
        </w:rPr>
        <w:t xml:space="preserve"> r</w:t>
      </w:r>
      <w:r>
        <w:rPr>
          <w:rFonts w:ascii="Times New Roman" w:hAnsi="Times New Roman"/>
          <w:sz w:val="20"/>
          <w:szCs w:val="20"/>
        </w:rPr>
        <w:t xml:space="preserve">i, RSi means CSI-RS resource i, </w:t>
      </w:r>
      <w:r>
        <w:rPr>
          <w:rFonts w:ascii="Times New Roman" w:hAnsi="Times New Roman"/>
          <w:position w:val="-12"/>
          <w:sz w:val="20"/>
          <w:szCs w:val="20"/>
        </w:rPr>
        <w:object>
          <v:shape id="_x0000_i1027" o:spt="75" type="#_x0000_t75" style="height:18.85pt;width:23.5pt;" o:ole="t" filled="f" o:preferrelative="t" stroked="f" coordsize="21600,21600">
            <v:path/>
            <v:fill on="f" focussize="0,0"/>
            <v:stroke on="f"/>
            <v:imagedata r:id="rId11" o:title=""/>
            <o:lock v:ext="edit" aspectratio="t"/>
            <w10:wrap type="none"/>
            <w10:anchorlock/>
          </v:shape>
          <o:OLEObject Type="Embed" ProgID="Equation.3" ShapeID="_x0000_i1027" DrawAspect="Content" ObjectID="_1468075727" r:id="rId10">
            <o:LockedField>false</o:LockedField>
          </o:OLEObject>
        </w:object>
      </w:r>
      <w:r>
        <w:rPr>
          <w:rFonts w:ascii="Times New Roman" w:hAnsi="Times New Roman"/>
          <w:sz w:val="20"/>
          <w:szCs w:val="20"/>
        </w:rPr>
        <w:t xml:space="preserve"> is channel matrix between UE and CSI-RS resource i in the case when UE uses receive beam </w:t>
      </w:r>
      <w:r>
        <w:rPr>
          <w:rFonts w:hint="eastAsia" w:ascii="Times New Roman" w:hAnsi="Times New Roman"/>
          <w:sz w:val="20"/>
          <w:szCs w:val="20"/>
          <w:lang w:val="en-US" w:eastAsia="zh-CN"/>
        </w:rPr>
        <w:t>r</w:t>
      </w:r>
      <w:r>
        <w:rPr>
          <w:rFonts w:ascii="Times New Roman" w:hAnsi="Times New Roman"/>
          <w:sz w:val="20"/>
          <w:szCs w:val="20"/>
        </w:rPr>
        <w:t>j, W</w:t>
      </w:r>
      <w:r>
        <w:rPr>
          <w:rFonts w:ascii="Times New Roman" w:hAnsi="Times New Roman"/>
          <w:sz w:val="20"/>
          <w:szCs w:val="20"/>
          <w:vertAlign w:val="subscript"/>
        </w:rPr>
        <w:t>i</w:t>
      </w:r>
      <w:r>
        <w:rPr>
          <w:rFonts w:ascii="Times New Roman" w:hAnsi="Times New Roman"/>
          <w:sz w:val="20"/>
          <w:szCs w:val="20"/>
        </w:rPr>
        <w:t xml:space="preserve"> is precoding matrix which will be used by TRP i , and I</w:t>
      </w:r>
      <w:r>
        <w:rPr>
          <w:rFonts w:ascii="Times New Roman" w:hAnsi="Times New Roman"/>
          <w:sz w:val="20"/>
          <w:szCs w:val="20"/>
          <w:vertAlign w:val="subscript"/>
        </w:rPr>
        <w:t>i</w:t>
      </w:r>
      <w:r>
        <w:rPr>
          <w:rFonts w:ascii="Times New Roman" w:hAnsi="Times New Roman"/>
          <w:sz w:val="20"/>
          <w:szCs w:val="20"/>
        </w:rPr>
        <w:t xml:space="preserve"> is other interference</w:t>
      </w:r>
      <w:r>
        <w:rPr>
          <w:rFonts w:hint="eastAsia" w:ascii="Times New Roman" w:hAnsi="Times New Roman"/>
          <w:sz w:val="20"/>
          <w:szCs w:val="20"/>
          <w:lang w:val="en-US" w:eastAsia="zh-CN"/>
        </w:rPr>
        <w:t xml:space="preserve"> and noise</w:t>
      </w:r>
      <w:r>
        <w:rPr>
          <w:rFonts w:ascii="Times New Roman" w:hAnsi="Times New Roman"/>
          <w:sz w:val="20"/>
          <w:szCs w:val="20"/>
        </w:rPr>
        <w:t xml:space="preserve"> for CSI-RS resource i. SINR</w:t>
      </w:r>
      <w:r>
        <w:rPr>
          <w:rFonts w:ascii="Times New Roman" w:hAnsi="Times New Roman"/>
          <w:sz w:val="20"/>
          <w:szCs w:val="20"/>
          <w:vertAlign w:val="subscript"/>
        </w:rPr>
        <w:t>i</w:t>
      </w:r>
      <w:r>
        <w:rPr>
          <w:rFonts w:ascii="Times New Roman" w:hAnsi="Times New Roman"/>
          <w:sz w:val="20"/>
          <w:szCs w:val="20"/>
        </w:rPr>
        <w:t xml:space="preserve"> refers to SINR for CSI-RS resource i. </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In order to acquire the optimal W</w:t>
      </w:r>
      <w:r>
        <w:rPr>
          <w:rFonts w:ascii="Times New Roman" w:hAnsi="Times New Roman"/>
          <w:sz w:val="20"/>
          <w:szCs w:val="20"/>
          <w:vertAlign w:val="subscript"/>
        </w:rPr>
        <w:t>0</w:t>
      </w:r>
      <w:r>
        <w:rPr>
          <w:rFonts w:ascii="Times New Roman" w:hAnsi="Times New Roman"/>
          <w:sz w:val="20"/>
          <w:szCs w:val="20"/>
        </w:rPr>
        <w:t xml:space="preserve"> and W</w:t>
      </w:r>
      <w:r>
        <w:rPr>
          <w:rFonts w:ascii="Times New Roman" w:hAnsi="Times New Roman"/>
          <w:sz w:val="20"/>
          <w:szCs w:val="20"/>
          <w:vertAlign w:val="subscript"/>
        </w:rPr>
        <w:t>1</w:t>
      </w:r>
      <w:r>
        <w:rPr>
          <w:rFonts w:ascii="Times New Roman" w:hAnsi="Times New Roman"/>
          <w:sz w:val="20"/>
          <w:szCs w:val="20"/>
        </w:rPr>
        <w:t xml:space="preserve">, UE needs to calculate channel matrix </w:t>
      </w:r>
      <w:r>
        <w:rPr>
          <w:rFonts w:ascii="Times New Roman" w:hAnsi="Times New Roman"/>
          <w:position w:val="-12"/>
          <w:sz w:val="20"/>
          <w:szCs w:val="20"/>
        </w:rPr>
        <w:object>
          <v:shape id="_x0000_i1028" o:spt="75" type="#_x0000_t75" style="height:18.85pt;width:53.5pt;" o:ole="t" filled="f" o:preferrelative="t" stroked="f" coordsize="21600,21600">
            <v:path/>
            <v:fill on="f" focussize="0,0"/>
            <v:stroke on="f"/>
            <v:imagedata r:id="rId13" o:title=""/>
            <o:lock v:ext="edit" aspectratio="t"/>
            <w10:wrap type="none"/>
            <w10:anchorlock/>
          </v:shape>
          <o:OLEObject Type="Embed" ProgID="Equation.3" ShapeID="_x0000_i1028" DrawAspect="Content" ObjectID="_1468075728" r:id="rId12">
            <o:LockedField>false</o:LockedField>
          </o:OLEObject>
        </w:object>
      </w:r>
      <w:r>
        <w:rPr>
          <w:rFonts w:ascii="Times New Roman" w:hAnsi="Times New Roman"/>
          <w:sz w:val="20"/>
          <w:szCs w:val="20"/>
        </w:rPr>
        <w:t xml:space="preserve"> and </w:t>
      </w:r>
      <w:r>
        <w:rPr>
          <w:rFonts w:ascii="Times New Roman" w:hAnsi="Times New Roman"/>
          <w:position w:val="-12"/>
          <w:sz w:val="20"/>
          <w:szCs w:val="20"/>
        </w:rPr>
        <w:object>
          <v:shape id="_x0000_i1029" o:spt="75" type="#_x0000_t75" style="height:18.85pt;width:53.5pt;" o:ole="t" filled="f" o:preferrelative="t" stroked="f" coordsize="21600,21600">
            <v:path/>
            <v:fill on="f" focussize="0,0"/>
            <v:stroke on="f"/>
            <v:imagedata r:id="rId15" o:title=""/>
            <o:lock v:ext="edit" aspectratio="t"/>
            <w10:wrap type="none"/>
            <w10:anchorlock/>
          </v:shape>
          <o:OLEObject Type="Embed" ProgID="Equation.3" ShapeID="_x0000_i1029" DrawAspect="Content" ObjectID="_1468075729" r:id="rId14">
            <o:LockedField>false</o:LockedField>
          </o:OLEObject>
        </w:object>
      </w:r>
      <w:r>
        <w:rPr>
          <w:rFonts w:ascii="Times New Roman" w:hAnsi="Times New Roman"/>
          <w:sz w:val="20"/>
          <w:szCs w:val="20"/>
        </w:rPr>
        <w:t xml:space="preserve">. </w:t>
      </w:r>
      <w:r>
        <w:rPr>
          <w:rFonts w:hint="eastAsia" w:ascii="Times New Roman" w:hAnsi="Times New Roman"/>
          <w:sz w:val="20"/>
          <w:szCs w:val="20"/>
        </w:rPr>
        <w:t>T</w:t>
      </w:r>
      <w:r>
        <w:rPr>
          <w:rFonts w:ascii="Times New Roman" w:hAnsi="Times New Roman"/>
          <w:sz w:val="20"/>
          <w:szCs w:val="20"/>
        </w:rPr>
        <w:t>he optimal W</w:t>
      </w:r>
      <w:r>
        <w:rPr>
          <w:rFonts w:ascii="Times New Roman" w:hAnsi="Times New Roman"/>
          <w:sz w:val="20"/>
          <w:szCs w:val="20"/>
          <w:vertAlign w:val="subscript"/>
        </w:rPr>
        <w:t>0</w:t>
      </w:r>
      <w:r>
        <w:rPr>
          <w:rFonts w:hint="eastAsia" w:ascii="Times New Roman" w:hAnsi="Times New Roman"/>
          <w:sz w:val="20"/>
          <w:szCs w:val="20"/>
        </w:rPr>
        <w:t xml:space="preserve"> </w:t>
      </w:r>
      <w:r>
        <w:rPr>
          <w:rFonts w:ascii="Times New Roman" w:hAnsi="Times New Roman"/>
          <w:sz w:val="20"/>
          <w:szCs w:val="20"/>
        </w:rPr>
        <w:t>and W</w:t>
      </w:r>
      <w:r>
        <w:rPr>
          <w:rFonts w:ascii="Times New Roman" w:hAnsi="Times New Roman"/>
          <w:sz w:val="20"/>
          <w:szCs w:val="20"/>
          <w:vertAlign w:val="subscript"/>
        </w:rPr>
        <w:t xml:space="preserve">1 </w:t>
      </w:r>
      <w:r>
        <w:rPr>
          <w:rFonts w:ascii="Times New Roman" w:hAnsi="Times New Roman"/>
          <w:sz w:val="20"/>
          <w:szCs w:val="20"/>
        </w:rPr>
        <w:t xml:space="preserve">should target to maximize the sum of throughput of TRP0 and TRP1. </w:t>
      </w:r>
      <w:r>
        <w:rPr>
          <w:rFonts w:hint="eastAsia" w:ascii="Times New Roman" w:hAnsi="Times New Roman" w:eastAsia="宋体"/>
          <w:sz w:val="20"/>
          <w:szCs w:val="20"/>
        </w:rPr>
        <w:t>F</w:t>
      </w:r>
      <w:r>
        <w:rPr>
          <w:rFonts w:ascii="Times New Roman" w:hAnsi="Times New Roman" w:eastAsia="宋体"/>
          <w:sz w:val="20"/>
          <w:szCs w:val="20"/>
        </w:rPr>
        <w:t xml:space="preserve">or </w:t>
      </w:r>
      <w:r>
        <w:rPr>
          <w:rFonts w:ascii="Times New Roman" w:hAnsi="Times New Roman"/>
          <w:sz w:val="20"/>
          <w:szCs w:val="20"/>
        </w:rPr>
        <w:t>SINR</w:t>
      </w:r>
      <w:r>
        <w:rPr>
          <w:rFonts w:hint="eastAsia" w:ascii="Times New Roman" w:hAnsi="Times New Roman"/>
          <w:sz w:val="20"/>
          <w:szCs w:val="20"/>
          <w:vertAlign w:val="subscript"/>
        </w:rPr>
        <w:t>1</w:t>
      </w:r>
      <w:r>
        <w:rPr>
          <w:rFonts w:hint="eastAsia" w:ascii="Times New Roman" w:hAnsi="Times New Roman"/>
          <w:sz w:val="20"/>
          <w:szCs w:val="20"/>
        </w:rPr>
        <w:t xml:space="preserve"> c</w:t>
      </w:r>
      <w:r>
        <w:rPr>
          <w:rFonts w:ascii="Times New Roman" w:hAnsi="Times New Roman"/>
          <w:sz w:val="20"/>
          <w:szCs w:val="20"/>
        </w:rPr>
        <w:t xml:space="preserve">alculation, the interference part caused by CSI-RS resource </w:t>
      </w:r>
      <w:r>
        <w:rPr>
          <w:rFonts w:hint="eastAsia" w:ascii="Times New Roman" w:hAnsi="Times New Roman"/>
          <w:sz w:val="20"/>
          <w:szCs w:val="20"/>
        </w:rPr>
        <w:t>5</w:t>
      </w:r>
      <w:r>
        <w:rPr>
          <w:rFonts w:ascii="Times New Roman" w:hAnsi="Times New Roman"/>
          <w:sz w:val="20"/>
          <w:szCs w:val="20"/>
        </w:rPr>
        <w:t xml:space="preserve"> should consider the precoding matrix W</w:t>
      </w:r>
      <w:r>
        <w:rPr>
          <w:rFonts w:hint="eastAsia" w:ascii="Times New Roman" w:hAnsi="Times New Roman"/>
          <w:sz w:val="20"/>
          <w:szCs w:val="20"/>
          <w:vertAlign w:val="subscript"/>
        </w:rPr>
        <w:t>5</w:t>
      </w:r>
      <w:r>
        <w:rPr>
          <w:rFonts w:ascii="Times New Roman" w:hAnsi="Times New Roman"/>
          <w:sz w:val="20"/>
          <w:szCs w:val="20"/>
        </w:rPr>
        <w:t xml:space="preserve">. </w:t>
      </w:r>
      <w:r>
        <w:rPr>
          <w:rFonts w:hint="eastAsia" w:ascii="Times New Roman" w:hAnsi="Times New Roman"/>
          <w:sz w:val="20"/>
          <w:szCs w:val="20"/>
        </w:rPr>
        <w:t>Also,</w:t>
      </w:r>
      <w:r>
        <w:rPr>
          <w:rFonts w:hint="eastAsia" w:ascii="Times New Roman" w:hAnsi="Times New Roman" w:eastAsia="宋体"/>
          <w:sz w:val="20"/>
          <w:szCs w:val="20"/>
        </w:rPr>
        <w:t xml:space="preserve"> f</w:t>
      </w:r>
      <w:r>
        <w:rPr>
          <w:rFonts w:ascii="Times New Roman" w:hAnsi="Times New Roman" w:eastAsia="宋体"/>
          <w:sz w:val="20"/>
          <w:szCs w:val="20"/>
        </w:rPr>
        <w:t xml:space="preserve">or </w:t>
      </w:r>
      <w:r>
        <w:rPr>
          <w:rFonts w:ascii="Times New Roman" w:hAnsi="Times New Roman"/>
          <w:sz w:val="20"/>
          <w:szCs w:val="20"/>
        </w:rPr>
        <w:t>SINR</w:t>
      </w:r>
      <w:r>
        <w:rPr>
          <w:rFonts w:hint="eastAsia" w:ascii="Times New Roman" w:hAnsi="Times New Roman"/>
          <w:sz w:val="20"/>
          <w:szCs w:val="20"/>
          <w:vertAlign w:val="subscript"/>
        </w:rPr>
        <w:t>5</w:t>
      </w:r>
      <w:r>
        <w:rPr>
          <w:rFonts w:ascii="Times New Roman" w:hAnsi="Times New Roman"/>
          <w:sz w:val="20"/>
          <w:szCs w:val="20"/>
        </w:rPr>
        <w:t xml:space="preserve"> calculation, the interference part caused by CSI-RS resource </w:t>
      </w:r>
      <w:r>
        <w:rPr>
          <w:rFonts w:hint="eastAsia" w:ascii="Times New Roman" w:hAnsi="Times New Roman"/>
          <w:sz w:val="20"/>
          <w:szCs w:val="20"/>
        </w:rPr>
        <w:t>1</w:t>
      </w:r>
      <w:r>
        <w:rPr>
          <w:rFonts w:ascii="Times New Roman" w:hAnsi="Times New Roman"/>
          <w:sz w:val="20"/>
          <w:szCs w:val="20"/>
        </w:rPr>
        <w:t xml:space="preserve"> should consider the precoding matrix W</w:t>
      </w:r>
      <w:r>
        <w:rPr>
          <w:rFonts w:hint="eastAsia" w:ascii="Times New Roman" w:hAnsi="Times New Roman"/>
          <w:sz w:val="20"/>
          <w:szCs w:val="20"/>
          <w:vertAlign w:val="subscript"/>
        </w:rPr>
        <w:t>1</w:t>
      </w:r>
      <w:r>
        <w:rPr>
          <w:rFonts w:ascii="Times New Roman" w:hAnsi="Times New Roman"/>
          <w:sz w:val="20"/>
          <w:szCs w:val="20"/>
          <w:vertAlign w:val="subscript"/>
        </w:rPr>
        <w:t>.</w:t>
      </w:r>
      <w:r>
        <w:rPr>
          <w:rFonts w:hint="eastAsia" w:ascii="Times New Roman" w:hAnsi="Times New Roman"/>
          <w:sz w:val="20"/>
          <w:szCs w:val="20"/>
          <w:vertAlign w:val="subscript"/>
        </w:rPr>
        <w:t xml:space="preserve"> </w:t>
      </w:r>
      <w:r>
        <w:rPr>
          <w:rFonts w:hint="eastAsia" w:ascii="Times New Roman" w:hAnsi="Times New Roman"/>
          <w:sz w:val="20"/>
          <w:szCs w:val="20"/>
        </w:rPr>
        <w:t xml:space="preserve">In </w:t>
      </w:r>
      <w:r>
        <w:rPr>
          <w:rFonts w:ascii="Times New Roman" w:hAnsi="Times New Roman"/>
          <w:sz w:val="20"/>
          <w:szCs w:val="20"/>
        </w:rPr>
        <w:t>summary</w:t>
      </w:r>
      <w:r>
        <w:rPr>
          <w:rFonts w:hint="eastAsia" w:ascii="Times New Roman" w:hAnsi="Times New Roman"/>
          <w:sz w:val="20"/>
          <w:szCs w:val="20"/>
        </w:rPr>
        <w:t>, UE should calculate interference from the coordinated TRP considering optim</w:t>
      </w:r>
      <w:r>
        <w:rPr>
          <w:rFonts w:ascii="Times New Roman" w:hAnsi="Times New Roman"/>
          <w:sz w:val="20"/>
          <w:szCs w:val="20"/>
        </w:rPr>
        <w:t>al</w:t>
      </w:r>
      <w:r>
        <w:rPr>
          <w:rFonts w:hint="eastAsia" w:ascii="Times New Roman" w:hAnsi="Times New Roman"/>
          <w:sz w:val="20"/>
          <w:szCs w:val="20"/>
        </w:rPr>
        <w:t xml:space="preserve"> precoder and beam used by the coordinated TRP.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Based on the above analysis, at least in FR2, one CSI-RS resource from TRP1 should be paired with another CSI-RS resource from TRP2 by higher signaling, and then UE will measure both associated CMRs with two receive beams for joint CSI calculation. If pairing information is not configured to UE, how to calculate inter-beam interference will be unclear from UE side and probably mismatch with gNB</w:t>
      </w:r>
      <w:r>
        <w:rPr>
          <w:rFonts w:ascii="Times New Roman" w:hAnsi="Times New Roman"/>
          <w:sz w:val="20"/>
          <w:szCs w:val="20"/>
        </w:rPr>
        <w:t>’</w:t>
      </w:r>
      <w:r>
        <w:rPr>
          <w:rFonts w:hint="eastAsia" w:ascii="Times New Roman" w:hAnsi="Times New Roman"/>
          <w:sz w:val="20"/>
          <w:szCs w:val="20"/>
        </w:rPr>
        <w:t xml:space="preserve">s assumption.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Then,</w:t>
      </w:r>
      <w:r>
        <w:rPr>
          <w:rFonts w:hint="eastAsia" w:ascii="Times New Roman" w:hAnsi="Times New Roman"/>
          <w:sz w:val="20"/>
          <w:szCs w:val="20"/>
          <w:u w:val="none"/>
        </w:rPr>
        <w:t xml:space="preserve"> how to configure the pairing information of the CSI-RS resources from the two TRPs ? The simplest solution from our side is just to configure the number of pairs N for the CSI-RS resource set</w:t>
      </w:r>
      <w:r>
        <w:rPr>
          <w:rFonts w:hint="eastAsia" w:ascii="Times New Roman" w:hAnsi="Times New Roman"/>
          <w:sz w:val="20"/>
          <w:szCs w:val="20"/>
        </w:rPr>
        <w:t>. Assuming the number of resources within the resource set is M, so the first 2N resources can be for MTRP, and the remaining M-2N resources can be for STRP.</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Still taking Figure 2-1 as the example, the number of CSI-RS resource pair N=2 for MTRP CSI, and needs to be indicated to UE. Then, the CSI-RS resources in the resource set can be ordered as shown in Figure 2-2, where resource pair (1,5), (2,6) are for MTRP, but resource 3,4,7,8 are for STRP. N should be equal or smaller than </w:t>
      </w:r>
      <w:r>
        <w:rPr>
          <w:rFonts w:hint="eastAsia" w:ascii="Times New Roman" w:hAnsi="Times New Roman"/>
          <w:position w:val="-12"/>
          <w:sz w:val="20"/>
          <w:szCs w:val="20"/>
        </w:rPr>
        <w:object>
          <v:shape id="_x0000_i1030" o:spt="75" type="#_x0000_t75" style="height:18.1pt;width:38.1pt;" o:ole="t" filled="f" o:preferrelative="t" stroked="f" coordsize="21600,21600">
            <v:path/>
            <v:fill on="f" focussize="0,0"/>
            <v:stroke on="f" joinstyle="miter"/>
            <v:imagedata r:id="rId17" o:title=""/>
            <o:lock v:ext="edit" aspectratio="t"/>
            <w10:wrap type="none"/>
            <w10:anchorlock/>
          </v:shape>
          <o:OLEObject Type="Embed" ProgID="Equation.3" ShapeID="_x0000_i1030" DrawAspect="Content" ObjectID="_1468075730" r:id="rId16">
            <o:LockedField>false</o:LockedField>
          </o:OLEObject>
        </w:object>
      </w:r>
      <w:r>
        <w:rPr>
          <w:rFonts w:hint="eastAsia" w:ascii="Times New Roman" w:hAnsi="Times New Roman"/>
          <w:sz w:val="20"/>
          <w:szCs w:val="20"/>
        </w:rPr>
        <w:t>. If N=0, all CMRs are for STRP CSI calculation. If N = M/2, all resource pairs are for MTRP CSI calculation.</w:t>
      </w:r>
    </w:p>
    <w:p>
      <w:pPr>
        <w:snapToGrid w:val="0"/>
        <w:jc w:val="center"/>
      </w:pPr>
      <w:r>
        <w:drawing>
          <wp:inline distT="0" distB="0" distL="114300" distR="114300">
            <wp:extent cx="2533650" cy="1095375"/>
            <wp:effectExtent l="0" t="0" r="0" b="9525"/>
            <wp:docPr id="5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16"/>
                    <pic:cNvPicPr>
                      <a:picLocks noChangeAspect="1"/>
                    </pic:cNvPicPr>
                  </pic:nvPicPr>
                  <pic:blipFill>
                    <a:blip r:embed="rId18"/>
                    <a:stretch>
                      <a:fillRect/>
                    </a:stretch>
                  </pic:blipFill>
                  <pic:spPr>
                    <a:xfrm>
                      <a:off x="0" y="0"/>
                      <a:ext cx="2533650" cy="1095375"/>
                    </a:xfrm>
                    <a:prstGeom prst="rect">
                      <a:avLst/>
                    </a:prstGeom>
                    <a:noFill/>
                    <a:ln>
                      <a:noFill/>
                    </a:ln>
                  </pic:spPr>
                </pic:pic>
              </a:graphicData>
            </a:graphic>
          </wp:inline>
        </w:drawing>
      </w:r>
    </w:p>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Figure 2-2 CSI-RS resource order in the CSI-RS resource set for MTRP CSI</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Based on the simple proposal, the number of CRI codepoints can be equal to the number of hypothesis including both MTRP and STRP CSI assumptions, i.e. N + (M-2N). The first N CRI codepoints should one-to-one map with N CMR pairs for MTRP CSI, and the remaining M-2N CRI codepoints should map to M-2N remaining CMRs for STRP CSI. So the number of CRI bits should be </w:t>
      </w:r>
      <w:r>
        <w:rPr>
          <w:rFonts w:hint="eastAsia" w:ascii="Times New Roman" w:hAnsi="Times New Roman"/>
          <w:position w:val="-12"/>
          <w:sz w:val="20"/>
          <w:szCs w:val="20"/>
        </w:rPr>
        <w:object>
          <v:shape id="_x0000_i1031" o:spt="75" type="#_x0000_t75" style="height:18.85pt;width:65.85pt;" o:ole="t" filled="f" o:preferrelative="t" stroked="f" coordsize="21600,21600">
            <v:path/>
            <v:fill on="f" focussize="0,0"/>
            <v:stroke on="f" joinstyle="miter"/>
            <v:imagedata r:id="rId20" o:title=""/>
            <o:lock v:ext="edit" aspectratio="t"/>
            <w10:wrap type="none"/>
            <w10:anchorlock/>
          </v:shape>
          <o:OLEObject Type="Embed" ProgID="Equation.3" ShapeID="_x0000_i1031" DrawAspect="Content" ObjectID="_1468075731" r:id="rId19">
            <o:LockedField>false</o:LockedField>
          </o:OLEObject>
        </w:object>
      </w:r>
      <w:r>
        <w:rPr>
          <w:rFonts w:hint="eastAsia" w:ascii="Times New Roman" w:hAnsi="Times New Roman"/>
          <w:sz w:val="20"/>
          <w:szCs w:val="20"/>
        </w:rPr>
        <w:t xml:space="preserve">. </w:t>
      </w:r>
    </w:p>
    <w:p>
      <w:pPr>
        <w:snapToGrid w:val="0"/>
        <w:spacing w:after="0" w:line="240" w:lineRule="auto"/>
        <w:jc w:val="both"/>
        <w:rPr>
          <w:rFonts w:ascii="Times New Roman" w:hAnsi="Times New Roman"/>
          <w:i/>
          <w:iCs/>
          <w:sz w:val="20"/>
          <w:szCs w:val="20"/>
        </w:rPr>
      </w:pPr>
      <w:r>
        <w:rPr>
          <w:rFonts w:hint="eastAsia" w:ascii="Times New Roman" w:hAnsi="Times New Roman"/>
          <w:b/>
          <w:bCs/>
          <w:i/>
          <w:iCs/>
          <w:sz w:val="20"/>
          <w:szCs w:val="20"/>
        </w:rPr>
        <w:t>Proposal 1:</w:t>
      </w:r>
      <w:r>
        <w:rPr>
          <w:rFonts w:hint="eastAsia" w:ascii="Times New Roman" w:hAnsi="Times New Roman"/>
          <w:i/>
          <w:iCs/>
          <w:sz w:val="20"/>
          <w:szCs w:val="20"/>
        </w:rPr>
        <w:t xml:space="preserve"> Support to configure UE with the number of pairs N for a CMR resource set which has M CSI-RS resources, where the first N pairs of resources are for MTRP, and the remaining M-2N resources are for STRP. </w:t>
      </w:r>
    </w:p>
    <w:p>
      <w:pPr>
        <w:numPr>
          <w:ilvl w:val="0"/>
          <w:numId w:val="10"/>
        </w:numPr>
        <w:snapToGrid w:val="0"/>
        <w:spacing w:after="0" w:line="240" w:lineRule="auto"/>
        <w:jc w:val="both"/>
        <w:rPr>
          <w:rFonts w:ascii="Times New Roman" w:hAnsi="Times New Roman"/>
          <w:i/>
          <w:iCs/>
          <w:sz w:val="20"/>
          <w:szCs w:val="20"/>
        </w:rPr>
      </w:pPr>
      <w:r>
        <w:rPr>
          <w:rFonts w:hint="eastAsia" w:ascii="Times New Roman" w:hAnsi="Times New Roman"/>
          <w:i/>
          <w:iCs/>
          <w:sz w:val="20"/>
          <w:szCs w:val="20"/>
        </w:rPr>
        <w:t>The number of CRI codepoints is N + (M-2N)</w:t>
      </w:r>
      <w:r>
        <w:rPr>
          <w:rFonts w:ascii="Times New Roman" w:hAnsi="Times New Roman"/>
          <w:i/>
          <w:iCs/>
          <w:sz w:val="20"/>
          <w:szCs w:val="20"/>
        </w:rPr>
        <w:t xml:space="preserve">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FR1, there may not be analog beams. UE can buffer channel measurement results of all CMRs in the set, and do round robin pairing for NCJT joint CSI calculation. Pairing configuration from gNB RRC signaling may not be needed. Still assuming CMR 1, 5, 2, 6 are from TRP1, and CMR 3, 4, 7, 8 are from TRP2. Then, there are </w:t>
      </w:r>
      <w:r>
        <w:rPr>
          <w:rFonts w:hint="eastAsia" w:ascii="Times New Roman" w:hAnsi="Times New Roman"/>
          <w:position w:val="-10"/>
          <w:sz w:val="20"/>
          <w:szCs w:val="20"/>
        </w:rPr>
        <w:object>
          <v:shape id="_x0000_i1032" o:spt="75" type="#_x0000_t75" style="height:18.1pt;width:58.15pt;" o:ole="t" filled="f" o:preferrelative="t" stroked="f" coordsize="21600,21600">
            <v:path/>
            <v:fill on="f" focussize="0,0"/>
            <v:stroke on="f" joinstyle="miter"/>
            <v:imagedata r:id="rId22" o:title=""/>
            <o:lock v:ext="edit" aspectratio="t"/>
            <w10:wrap type="none"/>
            <w10:anchorlock/>
          </v:shape>
          <o:OLEObject Type="Embed" ProgID="Equation.3" ShapeID="_x0000_i1032" DrawAspect="Content" ObjectID="_1468075732" r:id="rId21">
            <o:LockedField>false</o:LockedField>
          </o:OLEObject>
        </w:object>
      </w:r>
      <w:r>
        <w:rPr>
          <w:rFonts w:hint="eastAsia" w:ascii="Times New Roman" w:hAnsi="Times New Roman"/>
          <w:sz w:val="20"/>
          <w:szCs w:val="20"/>
        </w:rPr>
        <w:t>combinations for MTRP CSI calculation, the possible candidate pairs are as follows,</w:t>
      </w:r>
    </w:p>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(1,3) (1,4) (1,7) (1,8)  (5,3) (5,4) (5,7) (5,8)   (2,3) (2,4) (2,7) (2,8)   (6,3) (6,4) (6,7) (6,8)</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Also, for STRP CSI calculation, there are still 8 candidates (no pairs, i.e. individual CMR measurement). Totally, there are 24 hypothesis of CSI calculations for this CMR set. However, this number will cause unaffordable CPU occupations at UE side. Furthermore, gNB may not need measurement results for some hypothesis since the rough channel condition can be achieved by RSRP report.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Thus, we propose to support unified solution, i.e. </w:t>
      </w:r>
      <w:r>
        <w:rPr>
          <w:rFonts w:hint="eastAsia" w:ascii="Times New Roman" w:hAnsi="Times New Roman"/>
          <w:sz w:val="20"/>
          <w:szCs w:val="20"/>
          <w:lang w:val="en-US" w:eastAsia="zh-CN"/>
        </w:rPr>
        <w:t xml:space="preserve">the above </w:t>
      </w:r>
      <w:r>
        <w:rPr>
          <w:rFonts w:hint="eastAsia" w:ascii="Times New Roman" w:hAnsi="Times New Roman"/>
          <w:sz w:val="20"/>
          <w:szCs w:val="20"/>
        </w:rPr>
        <w:t xml:space="preserve">proposal 1 for both FR1 and FR2. In FR1, the same resource ID can be configured twice for both MTRP and STRP (just gNB implementation issue, no RRC impact). For example, M=4 CMRs are configured in a resource set, N=1 pair is configured by RRC signaling, the resource IDs contained in the resource set can be 1, 2, 1, 2, where the first resource 1, 2 are paired for MTRP CSI, and the remaining ones are for STRP. </w:t>
      </w:r>
    </w:p>
    <w:p>
      <w:pPr>
        <w:snapToGrid w:val="0"/>
        <w:spacing w:before="180" w:beforeLines="50" w:after="180" w:afterLines="50" w:line="240" w:lineRule="auto"/>
        <w:jc w:val="center"/>
      </w:pPr>
      <w:r>
        <w:drawing>
          <wp:inline distT="0" distB="0" distL="114300" distR="114300">
            <wp:extent cx="1771650" cy="1419225"/>
            <wp:effectExtent l="0" t="0" r="0" b="9525"/>
            <wp:docPr id="54"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20"/>
                    <pic:cNvPicPr>
                      <a:picLocks noChangeAspect="1"/>
                    </pic:cNvPicPr>
                  </pic:nvPicPr>
                  <pic:blipFill>
                    <a:blip r:embed="rId23"/>
                    <a:stretch>
                      <a:fillRect/>
                    </a:stretch>
                  </pic:blipFill>
                  <pic:spPr>
                    <a:xfrm>
                      <a:off x="0" y="0"/>
                      <a:ext cx="1771650" cy="1419225"/>
                    </a:xfrm>
                    <a:prstGeom prst="rect">
                      <a:avLst/>
                    </a:prstGeom>
                    <a:noFill/>
                    <a:ln>
                      <a:noFill/>
                    </a:ln>
                  </pic:spPr>
                </pic:pic>
              </a:graphicData>
            </a:graphic>
          </wp:inline>
        </w:drawing>
      </w:r>
    </w:p>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Figure 2-3 CSI-RS resource order in the CSI-RS resource set for MTRP CSI in FR1</w:t>
      </w:r>
    </w:p>
    <w:p>
      <w:pPr>
        <w:snapToGrid w:val="0"/>
        <w:spacing w:before="180" w:beforeLines="50" w:after="180" w:afterLines="50" w:line="240" w:lineRule="auto"/>
        <w:jc w:val="both"/>
        <w:rPr>
          <w:rFonts w:ascii="Times New Roman" w:hAnsi="Times New Roman"/>
          <w:sz w:val="20"/>
          <w:szCs w:val="20"/>
        </w:rPr>
      </w:pPr>
    </w:p>
    <w:p>
      <w:pPr>
        <w:pStyle w:val="4"/>
        <w:numPr>
          <w:ilvl w:val="0"/>
          <w:numId w:val="8"/>
        </w:numPr>
        <w:snapToGrid w:val="0"/>
        <w:spacing w:before="180" w:beforeLines="50" w:after="180" w:afterLines="50" w:line="240" w:lineRule="auto"/>
        <w:rPr>
          <w:rFonts w:ascii="Times New Roman" w:hAnsi="Times New Roman"/>
          <w:sz w:val="20"/>
          <w:szCs w:val="20"/>
          <w:lang w:val="en-US"/>
        </w:rPr>
      </w:pPr>
      <w:r>
        <w:rPr>
          <w:rFonts w:hint="eastAsia" w:ascii="Times New Roman" w:hAnsi="Times New Roman"/>
          <w:sz w:val="20"/>
          <w:szCs w:val="20"/>
          <w:lang w:val="en-US"/>
        </w:rPr>
        <w:t>CPU for CSI processing</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Release R15 and R16, the number of occupied CPUs O</w:t>
      </w:r>
      <w:r>
        <w:rPr>
          <w:rFonts w:hint="eastAsia" w:ascii="Times New Roman" w:hAnsi="Times New Roman"/>
          <w:sz w:val="20"/>
          <w:szCs w:val="20"/>
          <w:vertAlign w:val="subscript"/>
        </w:rPr>
        <w:t>CPU</w:t>
      </w:r>
      <w:r>
        <w:rPr>
          <w:rFonts w:hint="eastAsia" w:ascii="Times New Roman" w:hAnsi="Times New Roman"/>
          <w:sz w:val="20"/>
          <w:szCs w:val="20"/>
        </w:rPr>
        <w:t xml:space="preserve"> = M</w:t>
      </w:r>
      <w:r>
        <w:rPr>
          <w:rFonts w:hint="eastAsia" w:ascii="Times New Roman" w:hAnsi="Times New Roman"/>
          <w:sz w:val="20"/>
          <w:szCs w:val="20"/>
        </w:rPr>
        <w:fldChar w:fldCharType="begin"/>
      </w:r>
      <w:r>
        <w:rPr>
          <w:rFonts w:hint="eastAsia" w:ascii="Times New Roman" w:hAnsi="Times New Roman"/>
          <w:sz w:val="20"/>
          <w:szCs w:val="20"/>
        </w:rPr>
        <w:instrText xml:space="preserve"> QUOTE </w:instrText>
      </w:r>
      <m:oMath>
        <m:sSub>
          <m:sSubPr>
            <m:ctrlPr>
              <w:rPr>
                <w:rFonts w:hint="eastAsia" w:ascii="Cambria Math" w:hAnsi="Cambria Math"/>
                <w:sz w:val="20"/>
                <w:szCs w:val="20"/>
              </w:rPr>
            </m:ctrlPr>
          </m:sSubPr>
          <m:e>
            <m:r>
              <m:rPr>
                <m:sty m:val="p"/>
              </m:rPr>
              <w:rPr>
                <w:rFonts w:hint="eastAsia" w:ascii="Cambria Math" w:hAnsi="Cambria Math"/>
                <w:sz w:val="20"/>
                <w:szCs w:val="20"/>
              </w:rPr>
              <m:t xml:space="preserve">O</m:t>
            </m:r>
            <m:ctrlPr>
              <w:rPr>
                <w:rFonts w:hint="eastAsia" w:ascii="Cambria Math" w:hAnsi="Cambria Math"/>
                <w:sz w:val="20"/>
                <w:szCs w:val="20"/>
              </w:rPr>
            </m:ctrlPr>
          </m:e>
          <m:sub>
            <m:r>
              <m:rPr>
                <m:sty m:val="p"/>
              </m:rPr>
              <w:rPr>
                <w:rFonts w:hint="eastAsia" w:ascii="Cambria Math" w:hAnsi="Cambria Math"/>
                <w:sz w:val="20"/>
                <w:szCs w:val="20"/>
              </w:rPr>
              <m:t xml:space="preserve">CPU</m:t>
            </m:r>
            <m:ctrlPr>
              <w:rPr>
                <w:rFonts w:hint="eastAsia" w:ascii="Cambria Math" w:hAnsi="Cambria Math"/>
                <w:sz w:val="20"/>
                <w:szCs w:val="20"/>
              </w:rPr>
            </m:ctrlPr>
          </m:sub>
        </m:sSub>
        <m:r>
          <m:rPr>
            <m:sty m:val="p"/>
          </m:rPr>
          <w:rPr>
            <w:rFonts w:hint="eastAsia" w:ascii="Cambria Math" w:hAnsi="Cambria Math"/>
            <w:sz w:val="20"/>
            <w:szCs w:val="20"/>
          </w:rPr>
          <m:t xml:space="preserve">=</m:t>
        </m:r>
        <m:sSub>
          <m:sSubPr>
            <m:ctrlPr>
              <w:rPr>
                <w:rFonts w:hint="eastAsia" w:ascii="Cambria Math" w:hAnsi="Cambria Math"/>
                <w:sz w:val="20"/>
                <w:szCs w:val="20"/>
              </w:rPr>
            </m:ctrlPr>
          </m:sSubPr>
          <m:e>
            <m:r>
              <m:rPr>
                <m:sty m:val="p"/>
              </m:rPr>
              <w:rPr>
                <w:rFonts w:hint="eastAsia" w:ascii="Cambria Math" w:hAnsi="Cambria Math"/>
                <w:sz w:val="20"/>
                <w:szCs w:val="20"/>
              </w:rPr>
              <m:t xml:space="preserve">K</m:t>
            </m:r>
            <m:ctrlPr>
              <w:rPr>
                <w:rFonts w:hint="eastAsia" w:ascii="Cambria Math" w:hAnsi="Cambria Math"/>
                <w:sz w:val="20"/>
                <w:szCs w:val="20"/>
              </w:rPr>
            </m:ctrlPr>
          </m:e>
          <m:sub>
            <m:r>
              <m:rPr>
                <m:sty m:val="p"/>
              </m:rPr>
              <w:rPr>
                <w:rFonts w:hint="eastAsia" w:ascii="Cambria Math" w:hAnsi="Cambria Math"/>
                <w:sz w:val="20"/>
                <w:szCs w:val="20"/>
              </w:rPr>
              <m:t xml:space="preserve">S</m:t>
            </m:r>
            <m:ctrlPr>
              <w:rPr>
                <w:rFonts w:hint="eastAsia" w:ascii="Cambria Math" w:hAnsi="Cambria Math"/>
                <w:sz w:val="20"/>
                <w:szCs w:val="20"/>
              </w:rPr>
            </m:ctrlPr>
          </m:sub>
        </m:sSub>
      </m:oMath>
      <w:r>
        <w:rPr>
          <w:rFonts w:hint="eastAsia" w:ascii="Times New Roman" w:hAnsi="Times New Roman"/>
          <w:sz w:val="20"/>
          <w:szCs w:val="20"/>
        </w:rPr>
        <w:instrText xml:space="preserve"> </w:instrText>
      </w:r>
      <w:r>
        <w:rPr>
          <w:rFonts w:hint="eastAsia" w:ascii="Times New Roman" w:hAnsi="Times New Roman"/>
          <w:sz w:val="20"/>
          <w:szCs w:val="20"/>
        </w:rPr>
        <w:fldChar w:fldCharType="end"/>
      </w:r>
      <w:r>
        <w:rPr>
          <w:rFonts w:hint="eastAsia" w:ascii="Times New Roman" w:hAnsi="Times New Roman"/>
          <w:sz w:val="20"/>
          <w:szCs w:val="20"/>
        </w:rPr>
        <w:t xml:space="preserve"> for a CSI reporting where </w:t>
      </w:r>
      <m:oMath>
        <m:r>
          <m:rPr>
            <m:sty m:val="p"/>
          </m:rPr>
          <w:rPr>
            <w:rFonts w:hint="eastAsia" w:ascii="Cambria Math" w:hAnsi="Cambria Math"/>
            <w:sz w:val="20"/>
            <w:szCs w:val="20"/>
          </w:rPr>
          <m:t>M</m:t>
        </m:r>
      </m:oMath>
      <w:r>
        <w:rPr>
          <w:rFonts w:hint="eastAsia" w:ascii="Cambria Math" w:hAnsi="Cambria Math"/>
          <w:sz w:val="20"/>
          <w:szCs w:val="20"/>
        </w:rPr>
        <w:t xml:space="preserve"> </w:t>
      </w:r>
      <w:r>
        <w:rPr>
          <w:rFonts w:hint="eastAsia" w:ascii="Times New Roman" w:hAnsi="Times New Roman"/>
          <w:sz w:val="20"/>
          <w:szCs w:val="20"/>
        </w:rPr>
        <w:fldChar w:fldCharType="begin"/>
      </w:r>
      <w:r>
        <w:rPr>
          <w:rFonts w:hint="eastAsia" w:ascii="Times New Roman" w:hAnsi="Times New Roman"/>
          <w:sz w:val="20"/>
          <w:szCs w:val="20"/>
        </w:rPr>
        <w:instrText xml:space="preserve"> QUOTE </w:instrText>
      </w:r>
      <m:oMath>
        <m:sSub>
          <m:sSubPr>
            <m:ctrlPr>
              <w:rPr>
                <w:rFonts w:hint="eastAsia" w:ascii="Cambria Math" w:hAnsi="Cambria Math"/>
                <w:sz w:val="20"/>
                <w:szCs w:val="20"/>
              </w:rPr>
            </m:ctrlPr>
          </m:sSubPr>
          <m:e>
            <m:r>
              <m:rPr>
                <m:sty m:val="p"/>
              </m:rPr>
              <w:rPr>
                <w:rFonts w:hint="eastAsia" w:ascii="Cambria Math" w:hAnsi="Cambria Math"/>
                <w:sz w:val="20"/>
                <w:szCs w:val="20"/>
              </w:rPr>
              <m:t xml:space="preserve">K</m:t>
            </m:r>
            <m:ctrlPr>
              <w:rPr>
                <w:rFonts w:hint="eastAsia" w:ascii="Cambria Math" w:hAnsi="Cambria Math"/>
                <w:sz w:val="20"/>
                <w:szCs w:val="20"/>
              </w:rPr>
            </m:ctrlPr>
          </m:e>
          <m:sub>
            <m:r>
              <m:rPr>
                <m:sty m:val="p"/>
              </m:rPr>
              <w:rPr>
                <w:rFonts w:hint="eastAsia" w:ascii="Cambria Math" w:hAnsi="Cambria Math"/>
                <w:sz w:val="20"/>
                <w:szCs w:val="20"/>
              </w:rPr>
              <m:t xml:space="preserve">s</m:t>
            </m:r>
            <m:ctrlPr>
              <w:rPr>
                <w:rFonts w:hint="eastAsia" w:ascii="Cambria Math" w:hAnsi="Cambria Math"/>
                <w:sz w:val="20"/>
                <w:szCs w:val="20"/>
              </w:rPr>
            </m:ctrlPr>
          </m:sub>
        </m:sSub>
        <m:r>
          <m:rPr>
            <m:sty m:val="p"/>
          </m:rPr>
          <w:rPr>
            <w:rFonts w:hint="eastAsia" w:ascii="Cambria Math" w:hAnsi="Cambria Math"/>
            <w:sz w:val="20"/>
            <w:szCs w:val="20"/>
          </w:rPr>
          <m:t xml:space="preserve"> </m:t>
        </m:r>
      </m:oMath>
      <w:r>
        <w:rPr>
          <w:rFonts w:hint="eastAsia" w:ascii="Times New Roman" w:hAnsi="Times New Roman"/>
          <w:sz w:val="20"/>
          <w:szCs w:val="20"/>
        </w:rPr>
        <w:instrText xml:space="preserve"> </w:instrText>
      </w:r>
      <w:r>
        <w:rPr>
          <w:rFonts w:hint="eastAsia" w:ascii="Times New Roman" w:hAnsi="Times New Roman"/>
          <w:sz w:val="20"/>
          <w:szCs w:val="20"/>
        </w:rPr>
        <w:fldChar w:fldCharType="end"/>
      </w:r>
      <w:r>
        <w:rPr>
          <w:rFonts w:hint="eastAsia" w:ascii="Times New Roman" w:hAnsi="Times New Roman"/>
          <w:sz w:val="20"/>
          <w:szCs w:val="20"/>
        </w:rPr>
        <w:t>is the number of CMRs in the CSI-RS resource set. For NCJT CSI calculation with one paired CMRs, the number of occupied CPUs at UE side can be assumed as p. Based on the proposal 1, for a CMR set with M resources</w:t>
      </w:r>
      <w:r>
        <w:rPr>
          <w:rFonts w:hint="eastAsia" w:ascii="Times New Roman" w:hAnsi="Times New Roman"/>
          <w:sz w:val="20"/>
          <w:szCs w:val="20"/>
          <w:lang w:val="en-US" w:eastAsia="zh-CN"/>
        </w:rPr>
        <w:t xml:space="preserve"> and N paired CMRs</w:t>
      </w:r>
      <w:r>
        <w:rPr>
          <w:rFonts w:hint="eastAsia" w:ascii="Times New Roman" w:hAnsi="Times New Roman"/>
          <w:sz w:val="20"/>
          <w:szCs w:val="20"/>
        </w:rPr>
        <w:t>, so</w:t>
      </w:r>
    </w:p>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O</w:t>
      </w:r>
      <w:r>
        <w:rPr>
          <w:rFonts w:hint="eastAsia" w:ascii="Times New Roman" w:hAnsi="Times New Roman"/>
          <w:sz w:val="20"/>
          <w:szCs w:val="20"/>
          <w:vertAlign w:val="subscript"/>
        </w:rPr>
        <w:t>CPU</w:t>
      </w:r>
      <w:r>
        <w:rPr>
          <w:rFonts w:hint="eastAsia" w:ascii="Times New Roman" w:hAnsi="Times New Roman"/>
          <w:sz w:val="20"/>
          <w:szCs w:val="20"/>
        </w:rPr>
        <w:t xml:space="preserve"> = p</w:t>
      </w:r>
      <w:r>
        <w:rPr>
          <w:rFonts w:ascii="Times New Roman" w:hAnsi="Times New Roman"/>
          <w:sz w:val="20"/>
          <w:szCs w:val="20"/>
        </w:rPr>
        <w:t>·</w:t>
      </w:r>
      <w:r>
        <w:rPr>
          <w:rFonts w:hint="eastAsia" w:ascii="Times New Roman" w:hAnsi="Times New Roman"/>
          <w:sz w:val="20"/>
          <w:szCs w:val="20"/>
        </w:rPr>
        <w:t>N + (M - 2N)</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Form our view, p is naturally be equal to 2 since UE needs to calculate and feedback two sets of CSI for </w:t>
      </w:r>
      <w:r>
        <w:rPr>
          <w:rFonts w:hint="eastAsia" w:ascii="Times New Roman" w:hAnsi="Times New Roman"/>
          <w:sz w:val="20"/>
          <w:szCs w:val="20"/>
          <w:lang w:val="en-US" w:eastAsia="zh-CN"/>
        </w:rPr>
        <w:t>each</w:t>
      </w:r>
      <w:r>
        <w:rPr>
          <w:rFonts w:hint="eastAsia" w:ascii="Times New Roman" w:hAnsi="Times New Roman"/>
          <w:sz w:val="20"/>
          <w:szCs w:val="20"/>
        </w:rPr>
        <w:t xml:space="preserve"> paired CMRs. Therefore, O</w:t>
      </w:r>
      <w:r>
        <w:rPr>
          <w:rFonts w:hint="eastAsia" w:ascii="Times New Roman" w:hAnsi="Times New Roman"/>
          <w:sz w:val="20"/>
          <w:szCs w:val="20"/>
          <w:vertAlign w:val="subscript"/>
        </w:rPr>
        <w:t>CPU</w:t>
      </w:r>
      <w:r>
        <w:rPr>
          <w:rFonts w:hint="eastAsia" w:ascii="Times New Roman" w:hAnsi="Times New Roman"/>
          <w:sz w:val="20"/>
          <w:szCs w:val="20"/>
        </w:rPr>
        <w:t xml:space="preserve"> = p</w:t>
      </w:r>
      <w:r>
        <w:rPr>
          <w:rFonts w:ascii="Times New Roman" w:hAnsi="Times New Roman"/>
          <w:sz w:val="20"/>
          <w:szCs w:val="20"/>
        </w:rPr>
        <w:t>·</w:t>
      </w:r>
      <w:r>
        <w:rPr>
          <w:rFonts w:hint="eastAsia" w:ascii="Times New Roman" w:hAnsi="Times New Roman"/>
          <w:sz w:val="20"/>
          <w:szCs w:val="20"/>
        </w:rPr>
        <w:t xml:space="preserve">N + (M - 2N) = M, which is the same as Release 15 and 16. </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2: </w:t>
      </w:r>
      <w:r>
        <w:rPr>
          <w:rFonts w:hint="eastAsia" w:ascii="Times New Roman" w:hAnsi="Times New Roman"/>
          <w:i/>
          <w:iCs/>
          <w:sz w:val="20"/>
          <w:szCs w:val="20"/>
        </w:rPr>
        <w:t xml:space="preserve">CPU calculation for CSI processing is the same as Rel-15/16.  </w:t>
      </w:r>
    </w:p>
    <w:p>
      <w:pPr>
        <w:snapToGrid w:val="0"/>
        <w:spacing w:before="180" w:beforeLines="50" w:after="180" w:afterLines="50" w:line="240" w:lineRule="auto"/>
        <w:jc w:val="both"/>
        <w:rPr>
          <w:rFonts w:ascii="Times New Roman" w:hAnsi="Times New Roman"/>
          <w:i/>
          <w:iCs/>
          <w:sz w:val="20"/>
          <w:szCs w:val="20"/>
        </w:rPr>
      </w:pPr>
    </w:p>
    <w:p>
      <w:pPr>
        <w:pStyle w:val="4"/>
        <w:numPr>
          <w:ilvl w:val="0"/>
          <w:numId w:val="8"/>
        </w:numPr>
        <w:snapToGrid w:val="0"/>
        <w:spacing w:before="180" w:beforeLines="50" w:after="180" w:afterLines="50" w:line="240" w:lineRule="auto"/>
        <w:rPr>
          <w:rFonts w:ascii="Times New Roman" w:hAnsi="Times New Roman"/>
          <w:sz w:val="20"/>
          <w:szCs w:val="20"/>
          <w:lang w:val="en-US"/>
        </w:rPr>
      </w:pPr>
      <w:r>
        <w:rPr>
          <w:rFonts w:hint="eastAsia" w:ascii="Times New Roman" w:hAnsi="Times New Roman"/>
          <w:sz w:val="20"/>
          <w:szCs w:val="20"/>
          <w:lang w:val="en-US"/>
        </w:rPr>
        <w:t>CSI reporting</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As shown in above Agreement#3, th</w:t>
      </w:r>
      <w:r>
        <w:rPr>
          <w:rFonts w:hint="eastAsia" w:ascii="Times New Roman" w:hAnsi="Times New Roman"/>
          <w:sz w:val="20"/>
          <w:szCs w:val="20"/>
          <w:lang w:val="en-US" w:eastAsia="zh-CN"/>
        </w:rPr>
        <w:t>ree</w:t>
      </w:r>
      <w:r>
        <w:rPr>
          <w:rFonts w:hint="eastAsia" w:ascii="Times New Roman" w:hAnsi="Times New Roman"/>
          <w:sz w:val="20"/>
          <w:szCs w:val="20"/>
        </w:rPr>
        <w:t xml:space="preserve"> options are listed for CSI reporting. </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sz w:val="20"/>
          <w:szCs w:val="20"/>
        </w:rPr>
        <w:t xml:space="preserve">In Alt 3, </w:t>
      </w:r>
      <w:r>
        <w:rPr>
          <w:rFonts w:ascii="Times New Roman" w:hAnsi="Times New Roman" w:eastAsia="Malgun Gothic"/>
          <w:sz w:val="20"/>
          <w:szCs w:val="20"/>
        </w:rPr>
        <w:t>UE can be expected to report two CSIs associated with the two best single-TRP measurement hypotheses associated with CMRs from two TRPs and one CSI associated with the best NCJT measurement hypothesis</w:t>
      </w:r>
      <w:r>
        <w:rPr>
          <w:rFonts w:hint="eastAsia" w:ascii="Times New Roman" w:hAnsi="Times New Roman" w:eastAsia="宋体"/>
          <w:sz w:val="20"/>
          <w:szCs w:val="20"/>
        </w:rPr>
        <w:t xml:space="preserve">. However, the main usecase of MTRP CSI category 1 is for single DCI based SDM scheme where there is no something like CORESETPoolIndex to represent TRP ID. In other words, UE may not be able to identify from which TRP one CMR is. So Alt 3 cannot work for single DCI based MTRP transmission. So we suggest to down-select between Alt 1 and Alt 2. </w:t>
      </w:r>
    </w:p>
    <w:p>
      <w:p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Malgun Gothic"/>
          <w:sz w:val="20"/>
          <w:szCs w:val="20"/>
        </w:rPr>
        <w:t xml:space="preserve">Alt 2 is straightforward to be supported where </w:t>
      </w:r>
      <w:r>
        <w:rPr>
          <w:rFonts w:ascii="Times New Roman" w:hAnsi="Times New Roman" w:eastAsia="Malgun Gothic"/>
          <w:sz w:val="20"/>
          <w:szCs w:val="20"/>
        </w:rPr>
        <w:t xml:space="preserve">UE can be expected to report one CSI associated with the best one among NCJT and/or </w:t>
      </w:r>
      <w:r>
        <w:rPr>
          <w:rFonts w:hint="eastAsia" w:ascii="Times New Roman" w:hAnsi="Times New Roman" w:eastAsia="宋体"/>
          <w:sz w:val="20"/>
          <w:szCs w:val="20"/>
        </w:rPr>
        <w:t>S</w:t>
      </w:r>
      <w:r>
        <w:rPr>
          <w:rFonts w:ascii="Times New Roman" w:hAnsi="Times New Roman" w:eastAsia="Malgun Gothic"/>
          <w:sz w:val="20"/>
          <w:szCs w:val="20"/>
        </w:rPr>
        <w:t>TRP measurement hypotheses</w:t>
      </w:r>
      <w:r>
        <w:rPr>
          <w:rFonts w:hint="eastAsia" w:ascii="Times New Roman" w:hAnsi="Times New Roman" w:eastAsia="宋体"/>
          <w:sz w:val="20"/>
          <w:szCs w:val="20"/>
        </w:rPr>
        <w:t xml:space="preserve">. </w:t>
      </w:r>
    </w:p>
    <w:p>
      <w:pPr>
        <w:pStyle w:val="96"/>
        <w:autoSpaceDE w:val="0"/>
        <w:autoSpaceDN w:val="0"/>
        <w:adjustRightInd w:val="0"/>
        <w:snapToGrid w:val="0"/>
        <w:spacing w:line="240" w:lineRule="auto"/>
        <w:ind w:left="0" w:leftChars="0"/>
        <w:jc w:val="both"/>
        <w:rPr>
          <w:rFonts w:ascii="Times New Roman" w:hAnsi="Times New Roman" w:eastAsia="宋体"/>
          <w:sz w:val="20"/>
          <w:szCs w:val="20"/>
        </w:rPr>
      </w:pPr>
      <w:r>
        <w:rPr>
          <w:rFonts w:hint="eastAsia" w:ascii="Times New Roman" w:hAnsi="Times New Roman" w:eastAsia="宋体"/>
          <w:sz w:val="20"/>
          <w:szCs w:val="20"/>
        </w:rPr>
        <w:t xml:space="preserve">In Alt 1, </w:t>
      </w:r>
      <w:r>
        <w:rPr>
          <w:rFonts w:ascii="Times New Roman" w:hAnsi="Times New Roman" w:eastAsia="Malgun Gothic"/>
          <w:sz w:val="20"/>
          <w:szCs w:val="20"/>
        </w:rPr>
        <w:t>UE can be expected to report one CSI associated with the best single-TRP measurement hypothesis and one CSI associated with the best NCJT measurement hypothesis</w:t>
      </w:r>
      <w:r>
        <w:rPr>
          <w:rFonts w:hint="eastAsia" w:ascii="Times New Roman" w:hAnsi="Times New Roman" w:eastAsia="宋体"/>
          <w:sz w:val="20"/>
          <w:szCs w:val="20"/>
        </w:rPr>
        <w:t xml:space="preserve">. However, the CSI overhead in one CSI reporting will be almost triple than that </w:t>
      </w:r>
      <w:r>
        <w:rPr>
          <w:rFonts w:hint="eastAsia" w:ascii="Times New Roman" w:hAnsi="Times New Roman" w:eastAsia="宋体"/>
          <w:sz w:val="20"/>
          <w:szCs w:val="20"/>
          <w:lang w:val="en-US" w:eastAsia="zh-CN"/>
        </w:rPr>
        <w:t xml:space="preserve">of </w:t>
      </w:r>
      <w:r>
        <w:rPr>
          <w:rFonts w:hint="eastAsia" w:ascii="Times New Roman" w:hAnsi="Times New Roman" w:eastAsia="宋体"/>
          <w:sz w:val="20"/>
          <w:szCs w:val="20"/>
        </w:rPr>
        <w:t xml:space="preserve">Rel-15/16. In addition, Alt 1 can be implemented by two CSI reporting where one is for STRP hypotheses and the other is for NCJT hypotheses (an extremely case of Alt2). So Alt 1 is not preferred. </w:t>
      </w:r>
    </w:p>
    <w:p>
      <w:pPr>
        <w:pStyle w:val="96"/>
        <w:autoSpaceDE w:val="0"/>
        <w:autoSpaceDN w:val="0"/>
        <w:adjustRightInd w:val="0"/>
        <w:snapToGrid w:val="0"/>
        <w:spacing w:line="240" w:lineRule="auto"/>
        <w:ind w:left="0" w:leftChars="0"/>
        <w:jc w:val="both"/>
        <w:rPr>
          <w:rFonts w:ascii="Times New Roman" w:hAnsi="Times New Roman" w:eastAsia="宋体"/>
          <w:i/>
          <w:iCs/>
          <w:sz w:val="20"/>
          <w:szCs w:val="20"/>
        </w:rPr>
      </w:pPr>
      <w:r>
        <w:rPr>
          <w:rFonts w:hint="eastAsia" w:ascii="Times New Roman" w:hAnsi="Times New Roman" w:eastAsia="宋体"/>
          <w:b/>
          <w:bCs/>
          <w:i/>
          <w:iCs/>
          <w:sz w:val="20"/>
          <w:szCs w:val="20"/>
        </w:rPr>
        <w:t xml:space="preserve">Proposal 3: </w:t>
      </w:r>
      <w:r>
        <w:rPr>
          <w:rFonts w:hint="eastAsia" w:ascii="Times New Roman" w:hAnsi="Times New Roman" w:eastAsia="宋体"/>
          <w:i/>
          <w:iCs/>
          <w:sz w:val="20"/>
          <w:szCs w:val="20"/>
        </w:rPr>
        <w:t xml:space="preserve">For CSI reporting, support Alt 2 that </w:t>
      </w:r>
      <w:r>
        <w:rPr>
          <w:rFonts w:ascii="Times New Roman" w:hAnsi="Times New Roman" w:eastAsia="Malgun Gothic"/>
          <w:i/>
          <w:iCs/>
          <w:sz w:val="20"/>
          <w:szCs w:val="20"/>
        </w:rPr>
        <w:t xml:space="preserve">UE can be expected to report one CSI associated with the best one among NCJT and/or </w:t>
      </w:r>
      <w:r>
        <w:rPr>
          <w:rFonts w:hint="eastAsia" w:ascii="Times New Roman" w:hAnsi="Times New Roman" w:eastAsia="宋体"/>
          <w:i/>
          <w:iCs/>
          <w:sz w:val="20"/>
          <w:szCs w:val="20"/>
        </w:rPr>
        <w:t>S</w:t>
      </w:r>
      <w:r>
        <w:rPr>
          <w:rFonts w:ascii="Times New Roman" w:hAnsi="Times New Roman" w:eastAsia="Malgun Gothic"/>
          <w:i/>
          <w:iCs/>
          <w:sz w:val="20"/>
          <w:szCs w:val="20"/>
        </w:rPr>
        <w:t>TRP measurement hypotheses</w:t>
      </w:r>
      <w:r>
        <w:rPr>
          <w:rFonts w:hint="eastAsia" w:ascii="Times New Roman" w:hAnsi="Times New Roman" w:eastAsia="宋体"/>
          <w:i/>
          <w:iCs/>
          <w:sz w:val="20"/>
          <w:szCs w:val="20"/>
        </w:rPr>
        <w:t xml:space="preserve">. </w:t>
      </w:r>
    </w:p>
    <w:p>
      <w:pPr>
        <w:pStyle w:val="96"/>
        <w:autoSpaceDE w:val="0"/>
        <w:autoSpaceDN w:val="0"/>
        <w:adjustRightInd w:val="0"/>
        <w:snapToGrid w:val="0"/>
        <w:spacing w:line="240" w:lineRule="auto"/>
        <w:ind w:left="0" w:leftChars="0"/>
        <w:jc w:val="both"/>
        <w:rPr>
          <w:rFonts w:ascii="Times New Roman" w:hAnsi="Times New Roman" w:eastAsia="宋体"/>
          <w:i/>
          <w:iCs/>
          <w:sz w:val="20"/>
          <w:szCs w:val="20"/>
        </w:rPr>
      </w:pPr>
    </w:p>
    <w:p>
      <w:pPr>
        <w:pStyle w:val="3"/>
        <w:widowControl/>
        <w:numPr>
          <w:ilvl w:val="0"/>
          <w:numId w:val="0"/>
        </w:numPr>
        <w:autoSpaceDE/>
        <w:autoSpaceDN/>
        <w:adjustRightInd/>
        <w:snapToGrid w:val="0"/>
        <w:spacing w:after="180" w:afterLines="50" w:line="240" w:lineRule="auto"/>
        <w:ind w:left="432" w:hanging="432"/>
        <w:rPr>
          <w:rFonts w:ascii="Arial" w:hAnsi="Arial"/>
          <w:bCs w:val="0"/>
          <w:sz w:val="24"/>
          <w:szCs w:val="24"/>
          <w:lang w:val="en-US"/>
        </w:rPr>
      </w:pPr>
      <w:r>
        <w:rPr>
          <w:rFonts w:hint="eastAsia" w:ascii="Arial" w:hAnsi="Arial"/>
          <w:bCs w:val="0"/>
          <w:sz w:val="24"/>
          <w:szCs w:val="24"/>
          <w:lang w:val="en-US"/>
        </w:rPr>
        <w:t>2.1 Category 2</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As shown in the following working assumption made in RAN1#103 meeting for MTRP CSI enhancement </w:t>
      </w:r>
      <w:r>
        <w:rPr>
          <w:rFonts w:hint="eastAsia" w:ascii="Times New Roman" w:hAnsi="Times New Roman"/>
          <w:sz w:val="20"/>
          <w:szCs w:val="20"/>
          <w:lang w:val="en-US" w:eastAsia="zh-CN"/>
        </w:rPr>
        <w:t>C</w:t>
      </w:r>
      <w:r>
        <w:rPr>
          <w:rFonts w:hint="eastAsia" w:ascii="Times New Roman" w:hAnsi="Times New Roman"/>
          <w:sz w:val="20"/>
          <w:szCs w:val="20"/>
        </w:rPr>
        <w:t>ategory 2, the main usecase is for mult-DCI based NJCT with non-ideal backhaul. However, the scheduling of two TRPs are usually independent. In such case, even inter-TRP interference is considered for CSI feedback, two PDSCHs scheduled by two TRPs may be non-overlapped or partially overlapped</w:t>
      </w:r>
      <w:r>
        <w:rPr>
          <w:rFonts w:ascii="Times New Roman" w:hAnsi="Times New Roman"/>
          <w:sz w:val="20"/>
          <w:szCs w:val="20"/>
        </w:rPr>
        <w:t>, which means the scheduling decision from gNB can have different level of inter-TRP interference as the assumption when UE derives CSI</w:t>
      </w:r>
      <w:r>
        <w:rPr>
          <w:rFonts w:hint="eastAsia" w:ascii="Times New Roman" w:hAnsi="Times New Roman"/>
          <w:sz w:val="20"/>
          <w:szCs w:val="20"/>
        </w:rPr>
        <w:t xml:space="preserve">. </w:t>
      </w:r>
      <w:r>
        <w:rPr>
          <w:rFonts w:ascii="Times New Roman" w:hAnsi="Times New Roman"/>
          <w:sz w:val="20"/>
          <w:szCs w:val="20"/>
        </w:rPr>
        <w:t xml:space="preserve">This makes </w:t>
      </w:r>
      <w:r>
        <w:rPr>
          <w:rFonts w:hint="default" w:ascii="Times New Roman" w:hAnsi="Times New Roman"/>
          <w:sz w:val="20"/>
          <w:szCs w:val="20"/>
          <w:lang w:val="en-US"/>
        </w:rPr>
        <w:t>C</w:t>
      </w:r>
      <w:r>
        <w:rPr>
          <w:rFonts w:ascii="Times New Roman" w:hAnsi="Times New Roman"/>
          <w:sz w:val="20"/>
          <w:szCs w:val="20"/>
        </w:rPr>
        <w:t>ategory 2 less useful or more restrictive in practical deployment</w:t>
      </w:r>
      <w:r>
        <w:rPr>
          <w:rFonts w:hint="eastAsia" w:ascii="Times New Roman" w:hAnsi="Times New Roman"/>
          <w:sz w:val="20"/>
          <w:szCs w:val="20"/>
        </w:rPr>
        <w:t>. That</w:t>
      </w:r>
      <w:r>
        <w:rPr>
          <w:rFonts w:ascii="Times New Roman" w:hAnsi="Times New Roman"/>
          <w:sz w:val="20"/>
          <w:szCs w:val="20"/>
        </w:rPr>
        <w:t>’</w:t>
      </w:r>
      <w:r>
        <w:rPr>
          <w:rFonts w:hint="eastAsia" w:ascii="Times New Roman" w:hAnsi="Times New Roman"/>
          <w:sz w:val="20"/>
          <w:szCs w:val="20"/>
        </w:rPr>
        <w:t xml:space="preserve">s </w:t>
      </w:r>
      <w:r>
        <w:rPr>
          <w:rFonts w:hint="eastAsia" w:ascii="Times New Roman" w:hAnsi="Times New Roman"/>
          <w:sz w:val="20"/>
          <w:szCs w:val="20"/>
          <w:lang w:val="en-US" w:eastAsia="zh-CN"/>
        </w:rPr>
        <w:t xml:space="preserve">the </w:t>
      </w:r>
      <w:r>
        <w:rPr>
          <w:rFonts w:hint="eastAsia" w:ascii="Times New Roman" w:hAnsi="Times New Roman"/>
          <w:sz w:val="20"/>
          <w:szCs w:val="20"/>
        </w:rPr>
        <w:t xml:space="preserve">reason why this solution </w:t>
      </w:r>
      <w:r>
        <w:rPr>
          <w:rFonts w:hint="eastAsia" w:ascii="Times New Roman" w:hAnsi="Times New Roman"/>
          <w:sz w:val="20"/>
          <w:szCs w:val="20"/>
          <w:lang w:val="en-US" w:eastAsia="zh-CN"/>
        </w:rPr>
        <w:t>was</w:t>
      </w:r>
      <w:r>
        <w:rPr>
          <w:rFonts w:hint="eastAsia" w:ascii="Times New Roman" w:hAnsi="Times New Roman"/>
          <w:sz w:val="20"/>
          <w:szCs w:val="20"/>
        </w:rPr>
        <w:t xml:space="preserve"> made as the working assumption with low priority.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So we suggest completing Category 1 first and further discuss Category 2 if time is allowed.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0" w:line="240" w:lineRule="auto"/>
              <w:rPr>
                <w:rFonts w:ascii="Times New Roman" w:hAnsi="Times New Roman"/>
                <w:b/>
                <w:bCs/>
                <w:sz w:val="20"/>
                <w:szCs w:val="20"/>
                <w:u w:val="single"/>
              </w:rPr>
            </w:pPr>
            <w:r>
              <w:rPr>
                <w:rFonts w:ascii="Times New Roman" w:hAnsi="Times New Roman"/>
                <w:b/>
                <w:bCs/>
                <w:sz w:val="20"/>
                <w:szCs w:val="20"/>
                <w:u w:val="single"/>
              </w:rPr>
              <w:t>Working Assumption</w:t>
            </w:r>
          </w:p>
          <w:p>
            <w:pPr>
              <w:snapToGrid w:val="0"/>
              <w:spacing w:after="0" w:line="240" w:lineRule="auto"/>
              <w:jc w:val="both"/>
              <w:rPr>
                <w:rFonts w:ascii="Times New Roman" w:hAnsi="Times New Roman" w:eastAsia="MS Mincho"/>
                <w:iCs/>
                <w:sz w:val="20"/>
                <w:szCs w:val="20"/>
                <w:lang w:eastAsia="ko-KR"/>
              </w:rPr>
            </w:pPr>
            <w:r>
              <w:rPr>
                <w:rFonts w:ascii="Times New Roman" w:hAnsi="Times New Roman" w:eastAsia="MS Mincho"/>
                <w:iCs/>
                <w:sz w:val="20"/>
                <w:szCs w:val="20"/>
                <w:lang w:eastAsia="ko-KR"/>
              </w:rPr>
              <w:t>For CSI measurement for multi-DCI based NCJT, down select one of following two options:</w:t>
            </w:r>
          </w:p>
          <w:p>
            <w:pPr>
              <w:pStyle w:val="96"/>
              <w:numPr>
                <w:ilvl w:val="0"/>
                <w:numId w:val="3"/>
              </w:numPr>
              <w:snapToGrid w:val="0"/>
              <w:spacing w:after="0" w:line="240" w:lineRule="auto"/>
              <w:ind w:leftChars="0"/>
              <w:rPr>
                <w:rFonts w:ascii="Times New Roman" w:hAnsi="Times New Roman" w:eastAsia="Batang"/>
                <w:sz w:val="20"/>
                <w:szCs w:val="20"/>
                <w:lang w:val="en-GB"/>
              </w:rPr>
            </w:pPr>
            <w:r>
              <w:rPr>
                <w:rFonts w:ascii="Times New Roman" w:hAnsi="Times New Roman"/>
                <w:sz w:val="20"/>
                <w:szCs w:val="20"/>
              </w:rPr>
              <w:t>Option 1 (Explicit): CMRs corresponding to different TRPs can be associated with different reporting settings respectively, with the same configurations between two settings except for PUCCH/PUSCH resources and CMR/IMR resources setting(s)</w:t>
            </w:r>
          </w:p>
          <w:p>
            <w:pPr>
              <w:pStyle w:val="96"/>
              <w:numPr>
                <w:ilvl w:val="0"/>
                <w:numId w:val="3"/>
              </w:numPr>
              <w:snapToGrid w:val="0"/>
              <w:spacing w:after="0" w:line="240" w:lineRule="auto"/>
              <w:ind w:leftChars="0"/>
              <w:rPr>
                <w:rFonts w:ascii="Times New Roman" w:hAnsi="Times New Roman"/>
                <w:sz w:val="20"/>
                <w:szCs w:val="20"/>
              </w:rPr>
            </w:pPr>
            <w:r>
              <w:rPr>
                <w:rFonts w:ascii="Times New Roman" w:hAnsi="Times New Roman"/>
                <w:sz w:val="20"/>
                <w:szCs w:val="20"/>
              </w:rPr>
              <w:t>Option 2 (Implicit): a single CSI reporting setting associated with each TRP where a NZP CSI-RS is configured for interference measurement from another TRP</w:t>
            </w:r>
          </w:p>
          <w:p>
            <w:pPr>
              <w:pStyle w:val="96"/>
              <w:numPr>
                <w:ilvl w:val="0"/>
                <w:numId w:val="3"/>
              </w:numPr>
              <w:snapToGrid w:val="0"/>
              <w:spacing w:after="0" w:line="240" w:lineRule="auto"/>
              <w:ind w:leftChars="0"/>
              <w:rPr>
                <w:rFonts w:ascii="Times New Roman" w:hAnsi="Times New Roman"/>
                <w:sz w:val="20"/>
                <w:szCs w:val="20"/>
              </w:rPr>
            </w:pPr>
            <w:r>
              <w:rPr>
                <w:rFonts w:ascii="Times New Roman" w:hAnsi="Times New Roman"/>
                <w:sz w:val="20"/>
                <w:szCs w:val="20"/>
              </w:rPr>
              <w:t>FFS:  how interference from CMR in the linked reporting settings in option 1 or from the NZP CSI-RS configured as IMR in option 2 is considered in CQI calculation</w:t>
            </w:r>
          </w:p>
          <w:p>
            <w:pPr>
              <w:snapToGrid w:val="0"/>
              <w:spacing w:after="0" w:line="240" w:lineRule="auto"/>
              <w:ind w:left="1080" w:hanging="1080"/>
              <w:jc w:val="both"/>
              <w:rPr>
                <w:rFonts w:ascii="Times New Roman" w:hAnsi="Times New Roman" w:eastAsia="MS Mincho"/>
                <w:iCs/>
                <w:sz w:val="20"/>
                <w:szCs w:val="20"/>
                <w:lang w:eastAsia="ko-KR"/>
              </w:rPr>
            </w:pPr>
            <w:r>
              <w:rPr>
                <w:rFonts w:ascii="Times New Roman" w:hAnsi="Times New Roman" w:eastAsia="MS Mincho"/>
                <w:iCs/>
                <w:sz w:val="20"/>
                <w:szCs w:val="20"/>
                <w:lang w:eastAsia="ko-KR"/>
              </w:rPr>
              <w:t>Following restrictions apply to both options:</w:t>
            </w:r>
          </w:p>
          <w:p>
            <w:pPr>
              <w:pStyle w:val="96"/>
              <w:numPr>
                <w:ilvl w:val="0"/>
                <w:numId w:val="3"/>
              </w:numPr>
              <w:snapToGrid w:val="0"/>
              <w:spacing w:after="0" w:line="240" w:lineRule="auto"/>
              <w:ind w:leftChars="0"/>
              <w:rPr>
                <w:rFonts w:ascii="Times New Roman" w:hAnsi="Times New Roman" w:eastAsia="Batang"/>
                <w:sz w:val="20"/>
                <w:szCs w:val="20"/>
                <w:lang w:val="en-GB"/>
              </w:rPr>
            </w:pPr>
            <w:r>
              <w:rPr>
                <w:rFonts w:ascii="Times New Roman" w:hAnsi="Times New Roman"/>
                <w:sz w:val="20"/>
                <w:szCs w:val="20"/>
              </w:rPr>
              <w:t xml:space="preserve">At least ‘typeI-SinglePanel’ codebook is supported </w:t>
            </w:r>
          </w:p>
          <w:p>
            <w:pPr>
              <w:pStyle w:val="96"/>
              <w:numPr>
                <w:ilvl w:val="1"/>
                <w:numId w:val="3"/>
              </w:numPr>
              <w:snapToGrid w:val="0"/>
              <w:spacing w:after="0" w:line="240" w:lineRule="auto"/>
              <w:ind w:leftChars="0"/>
              <w:rPr>
                <w:rFonts w:ascii="Times New Roman" w:hAnsi="Times New Roman"/>
                <w:sz w:val="20"/>
                <w:szCs w:val="20"/>
              </w:rPr>
            </w:pPr>
            <w:r>
              <w:rPr>
                <w:rFonts w:ascii="Times New Roman" w:hAnsi="Times New Roman"/>
                <w:sz w:val="20"/>
                <w:szCs w:val="20"/>
              </w:rPr>
              <w:t xml:space="preserve">FFS: Other codebook types </w:t>
            </w:r>
          </w:p>
          <w:p>
            <w:pPr>
              <w:pStyle w:val="96"/>
              <w:numPr>
                <w:ilvl w:val="0"/>
                <w:numId w:val="3"/>
              </w:numPr>
              <w:snapToGrid w:val="0"/>
              <w:spacing w:after="0" w:line="240" w:lineRule="auto"/>
              <w:ind w:leftChars="0"/>
              <w:rPr>
                <w:rFonts w:ascii="Times New Roman" w:hAnsi="Times New Roman"/>
                <w:sz w:val="20"/>
                <w:szCs w:val="20"/>
              </w:rPr>
            </w:pPr>
            <w:r>
              <w:rPr>
                <w:rFonts w:ascii="Times New Roman" w:hAnsi="Times New Roman"/>
                <w:sz w:val="20"/>
                <w:szCs w:val="20"/>
              </w:rPr>
              <w:t>Only ‘periodic’ and ‘semiPersistentOnPUCCH’ cases are supported;</w:t>
            </w:r>
          </w:p>
          <w:p>
            <w:pPr>
              <w:pStyle w:val="96"/>
              <w:numPr>
                <w:ilvl w:val="0"/>
                <w:numId w:val="3"/>
              </w:numPr>
              <w:snapToGrid w:val="0"/>
              <w:spacing w:after="0" w:line="240" w:lineRule="auto"/>
              <w:ind w:leftChars="0"/>
              <w:rPr>
                <w:rFonts w:ascii="Times New Roman" w:hAnsi="Times New Roman"/>
                <w:sz w:val="20"/>
                <w:szCs w:val="20"/>
              </w:rPr>
            </w:pPr>
            <w:r>
              <w:rPr>
                <w:rFonts w:ascii="Times New Roman" w:hAnsi="Times New Roman"/>
                <w:sz w:val="20"/>
                <w:szCs w:val="20"/>
              </w:rPr>
              <w:t>The number of ports of two CMRs associated to two reporting settings for NCJT CSI measurement are the same;</w:t>
            </w:r>
          </w:p>
          <w:p>
            <w:pPr>
              <w:pStyle w:val="96"/>
              <w:numPr>
                <w:ilvl w:val="0"/>
                <w:numId w:val="3"/>
              </w:numPr>
              <w:snapToGrid w:val="0"/>
              <w:spacing w:after="0" w:line="240" w:lineRule="auto"/>
              <w:ind w:leftChars="0"/>
              <w:rPr>
                <w:rFonts w:ascii="Times New Roman" w:hAnsi="Times New Roman"/>
                <w:sz w:val="20"/>
                <w:szCs w:val="20"/>
              </w:rPr>
            </w:pPr>
            <w:r>
              <w:rPr>
                <w:rFonts w:ascii="Times New Roman" w:hAnsi="Times New Roman"/>
                <w:sz w:val="20"/>
                <w:szCs w:val="20"/>
              </w:rPr>
              <w:t>The support of larger than 32 ports across two CMRs is optional for a UE supporting Rel. 17 mTRP CSI</w:t>
            </w:r>
          </w:p>
          <w:p>
            <w:pPr>
              <w:snapToGrid w:val="0"/>
              <w:spacing w:after="0" w:line="240" w:lineRule="auto"/>
              <w:jc w:val="both"/>
              <w:rPr>
                <w:rFonts w:ascii="Times New Roman" w:hAnsi="Times New Roman"/>
                <w:sz w:val="20"/>
                <w:szCs w:val="20"/>
              </w:rPr>
            </w:pPr>
          </w:p>
        </w:tc>
      </w:tr>
    </w:tbl>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above option 1 (Explicit), </w:t>
      </w:r>
      <w:r>
        <w:rPr>
          <w:rFonts w:ascii="Times New Roman" w:hAnsi="Times New Roman"/>
          <w:sz w:val="20"/>
          <w:szCs w:val="20"/>
        </w:rPr>
        <w:t>CMRs corresponding to different TRPs can be associated with different reporting settings respectively, with the same configurations between two settings except for PUCCH/PUSCH resources and CMR/IMR resources setting(s)</w:t>
      </w:r>
      <w:r>
        <w:rPr>
          <w:rFonts w:hint="eastAsia" w:ascii="Times New Roman" w:hAnsi="Times New Roman"/>
          <w:sz w:val="20"/>
          <w:szCs w:val="20"/>
        </w:rPr>
        <w:t xml:space="preserve">. As shown in Figure 2-4, CSI report setting 1 and 2 should be associated by RRC signaling, e.g. CSI report setting ID 2 is configured under CSI report setting 1, then first N CMRs, e.g. N=2 in the resource set of resource setting 1 is are associated with the first N CMR in resource set of resource setting 2. That is, CMR 1 and CMR 5 are paired, CMR 2 and CMR 6 are paired. For report setting 1, CMR 1 and CMR 2 are for MTRP CSI, the remaining CMR 3 and CMR 4 are for STRP CSI. Likewise, for report setting 2, CMR 5 and CMR 6 are for MTRP CSI, the remaining CMR 7 and CMR 8 are for STRP CSI. </w:t>
      </w:r>
    </w:p>
    <w:p>
      <w:pPr>
        <w:snapToGrid w:val="0"/>
        <w:spacing w:before="180" w:beforeLines="50" w:after="180" w:afterLines="50" w:line="240" w:lineRule="auto"/>
        <w:jc w:val="center"/>
      </w:pPr>
      <w:r>
        <w:drawing>
          <wp:inline distT="0" distB="0" distL="114300" distR="114300">
            <wp:extent cx="4338955" cy="2948305"/>
            <wp:effectExtent l="0" t="0" r="4445" b="4445"/>
            <wp:docPr id="60"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27"/>
                    <pic:cNvPicPr>
                      <a:picLocks noChangeAspect="1"/>
                    </pic:cNvPicPr>
                  </pic:nvPicPr>
                  <pic:blipFill>
                    <a:blip r:embed="rId24"/>
                    <a:stretch>
                      <a:fillRect/>
                    </a:stretch>
                  </pic:blipFill>
                  <pic:spPr>
                    <a:xfrm>
                      <a:off x="0" y="0"/>
                      <a:ext cx="4338955" cy="2948305"/>
                    </a:xfrm>
                    <a:prstGeom prst="rect">
                      <a:avLst/>
                    </a:prstGeom>
                    <a:noFill/>
                    <a:ln>
                      <a:noFill/>
                    </a:ln>
                  </pic:spPr>
                </pic:pic>
              </a:graphicData>
            </a:graphic>
          </wp:inline>
        </w:drawing>
      </w:r>
    </w:p>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Figure 2-4 Two CSI reporting are associated</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above option 2 (</w:t>
      </w:r>
      <w:r>
        <w:rPr>
          <w:rFonts w:ascii="Times New Roman" w:hAnsi="Times New Roman"/>
          <w:sz w:val="20"/>
          <w:szCs w:val="20"/>
        </w:rPr>
        <w:t>Implicit</w:t>
      </w:r>
      <w:r>
        <w:rPr>
          <w:rFonts w:hint="eastAsia" w:ascii="Times New Roman" w:hAnsi="Times New Roman"/>
          <w:sz w:val="20"/>
          <w:szCs w:val="20"/>
        </w:rPr>
        <w:t xml:space="preserve">), </w:t>
      </w:r>
      <w:r>
        <w:rPr>
          <w:rFonts w:ascii="Times New Roman" w:hAnsi="Times New Roman"/>
          <w:sz w:val="20"/>
          <w:szCs w:val="20"/>
        </w:rPr>
        <w:t>a single CSI reporting setting associated with each TRP where a NZP CSI-RS is configured for interference measurement from another TRP</w:t>
      </w:r>
      <w:r>
        <w:rPr>
          <w:rFonts w:hint="eastAsia" w:ascii="Times New Roman" w:hAnsi="Times New Roman"/>
          <w:sz w:val="20"/>
          <w:szCs w:val="20"/>
        </w:rPr>
        <w:t xml:space="preserve">. In our view, a new type of NZP IMR set should be introduced for each CSI reporting setting in option 2. That is, for CSI reporting setting 1, the new type of NCP IMR set can include some CSI-RS resources from the CSI reporting setting 2 with specification transparent as shown in Figure 2-5 where IMR 5 and IMR 6 are configured to CMR1 and CMR 2 respectively for MTRP interference measurement. From functionality perspective, there is no much difference between option 2 and option 1. However, option 2 will cause more RRC signaling overhead and need more specification effort. </w:t>
      </w:r>
    </w:p>
    <w:p>
      <w:pPr>
        <w:snapToGrid w:val="0"/>
        <w:spacing w:before="180" w:beforeLines="50" w:after="180" w:afterLines="50" w:line="240" w:lineRule="auto"/>
        <w:jc w:val="center"/>
      </w:pPr>
      <w:r>
        <w:drawing>
          <wp:inline distT="0" distB="0" distL="114300" distR="114300">
            <wp:extent cx="2030730" cy="1666240"/>
            <wp:effectExtent l="0" t="0" r="7620" b="10160"/>
            <wp:docPr id="62"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29"/>
                    <pic:cNvPicPr>
                      <a:picLocks noChangeAspect="1"/>
                    </pic:cNvPicPr>
                  </pic:nvPicPr>
                  <pic:blipFill>
                    <a:blip r:embed="rId25"/>
                    <a:stretch>
                      <a:fillRect/>
                    </a:stretch>
                  </pic:blipFill>
                  <pic:spPr>
                    <a:xfrm>
                      <a:off x="0" y="0"/>
                      <a:ext cx="2030730" cy="1666240"/>
                    </a:xfrm>
                    <a:prstGeom prst="rect">
                      <a:avLst/>
                    </a:prstGeom>
                    <a:noFill/>
                    <a:ln>
                      <a:noFill/>
                    </a:ln>
                  </pic:spPr>
                </pic:pic>
              </a:graphicData>
            </a:graphic>
          </wp:inline>
        </w:drawing>
      </w:r>
    </w:p>
    <w:p>
      <w:pPr>
        <w:snapToGrid w:val="0"/>
        <w:spacing w:before="180" w:beforeLines="50" w:after="180" w:afterLines="50" w:line="240" w:lineRule="auto"/>
        <w:jc w:val="center"/>
        <w:rPr>
          <w:rFonts w:hint="default" w:eastAsiaTheme="minorEastAsia"/>
          <w:lang w:val="en-US" w:eastAsia="zh-CN"/>
        </w:rPr>
      </w:pPr>
      <w:r>
        <w:rPr>
          <w:rFonts w:hint="eastAsia" w:ascii="Times New Roman" w:hAnsi="Times New Roman"/>
          <w:sz w:val="20"/>
          <w:szCs w:val="20"/>
        </w:rPr>
        <w:t>Figure 2-</w:t>
      </w:r>
      <w:r>
        <w:rPr>
          <w:rFonts w:hint="eastAsia" w:ascii="Times New Roman" w:hAnsi="Times New Roman"/>
          <w:sz w:val="20"/>
          <w:szCs w:val="20"/>
          <w:lang w:val="en-US" w:eastAsia="zh-CN"/>
        </w:rPr>
        <w:t>5 One CSI reporting with a new IMR set</w:t>
      </w:r>
    </w:p>
    <w:p>
      <w:pPr>
        <w:snapToGrid w:val="0"/>
        <w:spacing w:before="180" w:beforeLines="50" w:after="180" w:afterLines="50" w:line="240" w:lineRule="auto"/>
        <w:jc w:val="both"/>
        <w:rPr>
          <w:rFonts w:ascii="Times New Roman" w:hAnsi="Times New Roman"/>
          <w:sz w:val="20"/>
          <w:szCs w:val="20"/>
        </w:rPr>
      </w:pPr>
    </w:p>
    <w:p>
      <w:pPr>
        <w:pStyle w:val="2"/>
        <w:snapToGrid w:val="0"/>
        <w:spacing w:before="180" w:beforeLines="50" w:after="180" w:afterLines="50"/>
        <w:ind w:left="431" w:hanging="431"/>
        <w:rPr>
          <w:sz w:val="28"/>
          <w:lang w:val="en-US"/>
        </w:rPr>
      </w:pPr>
      <w:r>
        <w:rPr>
          <w:sz w:val="28"/>
          <w:lang w:val="en-US"/>
        </w:rPr>
        <w:t>CSI enhancement based on FDD reciprocity</w:t>
      </w:r>
    </w:p>
    <w:p>
      <w:pPr>
        <w:pStyle w:val="3"/>
        <w:widowControl/>
        <w:numPr>
          <w:ilvl w:val="0"/>
          <w:numId w:val="0"/>
        </w:numPr>
        <w:autoSpaceDE/>
        <w:autoSpaceDN/>
        <w:adjustRightInd/>
        <w:snapToGrid w:val="0"/>
        <w:spacing w:after="180" w:afterLines="50" w:line="240" w:lineRule="auto"/>
        <w:ind w:left="432" w:hanging="432"/>
        <w:rPr>
          <w:rFonts w:ascii="Arial" w:hAnsi="Arial"/>
          <w:bCs w:val="0"/>
          <w:sz w:val="24"/>
          <w:szCs w:val="24"/>
          <w:lang w:val="en-US"/>
        </w:rPr>
      </w:pPr>
      <w:r>
        <w:rPr>
          <w:rFonts w:ascii="Arial" w:hAnsi="Arial"/>
          <w:bCs w:val="0"/>
          <w:sz w:val="24"/>
          <w:szCs w:val="24"/>
          <w:lang w:val="en-US"/>
        </w:rPr>
        <w:t>3.1 General procedure</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This item assumes partial reciprocity for FDD scenario. gNB can derive angular and delay for multiple paths and use it to assist CSI reporting. In general, the procedure of this FDD reciprocity based CSI reporting is depicted in Fig. 3-1.</w:t>
      </w:r>
    </w:p>
    <w:p>
      <w:pPr>
        <w:snapToGrid w:val="0"/>
        <w:spacing w:before="180" w:beforeLines="50" w:after="180" w:afterLines="50" w:line="240" w:lineRule="auto"/>
        <w:jc w:val="center"/>
        <w:rPr>
          <w:rFonts w:ascii="Times New Roman" w:hAnsi="Times New Roman"/>
          <w:i/>
          <w:sz w:val="20"/>
          <w:szCs w:val="20"/>
        </w:rPr>
      </w:pPr>
      <w:r>
        <w:rPr>
          <w:rFonts w:ascii="Times New Roman" w:hAnsi="Times New Roman"/>
          <w:i/>
          <w:sz w:val="20"/>
          <w:szCs w:val="20"/>
        </w:rPr>
        <w:drawing>
          <wp:inline distT="0" distB="0" distL="0" distR="0">
            <wp:extent cx="3299460" cy="1508125"/>
            <wp:effectExtent l="0" t="0" r="0" b="0"/>
            <wp:docPr id="4" name="Picture 3"/>
            <wp:cNvGraphicFramePr/>
            <a:graphic xmlns:a="http://schemas.openxmlformats.org/drawingml/2006/main">
              <a:graphicData uri="http://schemas.openxmlformats.org/drawingml/2006/picture">
                <pic:pic xmlns:pic="http://schemas.openxmlformats.org/drawingml/2006/picture">
                  <pic:nvPicPr>
                    <pic:cNvPr id="4" name="Picture 3"/>
                    <pic:cNvPicPr/>
                  </pic:nvPicPr>
                  <pic:blipFill>
                    <a:blip r:embed="rId26"/>
                    <a:stretch>
                      <a:fillRect/>
                    </a:stretch>
                  </pic:blipFill>
                  <pic:spPr>
                    <a:xfrm>
                      <a:off x="0" y="0"/>
                      <a:ext cx="3299460" cy="1508125"/>
                    </a:xfrm>
                    <a:prstGeom prst="rect">
                      <a:avLst/>
                    </a:prstGeom>
                  </pic:spPr>
                </pic:pic>
              </a:graphicData>
            </a:graphic>
          </wp:inline>
        </w:drawing>
      </w:r>
    </w:p>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F</w:t>
      </w:r>
      <w:r>
        <w:rPr>
          <w:rFonts w:ascii="Times New Roman" w:hAnsi="Times New Roman"/>
          <w:sz w:val="20"/>
          <w:szCs w:val="20"/>
        </w:rPr>
        <w:t>ig. 3-1 FDD reciprocity based CSI acquisition</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Consider DL is operated in frequency A, and UL is operated in frequency B, three step are considered in this procedure.</w:t>
      </w:r>
    </w:p>
    <w:p>
      <w:pPr>
        <w:numPr>
          <w:ilvl w:val="0"/>
          <w:numId w:val="11"/>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Step 1: gNB estimates angles and delays in frequency A by SRS in frequency B;</w:t>
      </w:r>
    </w:p>
    <w:p>
      <w:pPr>
        <w:numPr>
          <w:ilvl w:val="0"/>
          <w:numId w:val="11"/>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S</w:t>
      </w:r>
      <w:r>
        <w:rPr>
          <w:rFonts w:ascii="Times New Roman" w:hAnsi="Times New Roman"/>
          <w:sz w:val="20"/>
          <w:szCs w:val="20"/>
        </w:rPr>
        <w:t>tep 2: gNB uses the angles and delays to precode CSI-RS in frequency A;</w:t>
      </w:r>
    </w:p>
    <w:p>
      <w:pPr>
        <w:numPr>
          <w:ilvl w:val="0"/>
          <w:numId w:val="11"/>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Step 3: UE measures the CSI-RS and report CSI (e.g., selected “ports” and coefficients) for frequency A.</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Specifically, in Step 2, each CSI-RS port is precoded by one pair of SD basis and FD basis. For one CSI-RS tone of one CSI-RS port, the transmitted signal is </w:t>
      </w:r>
      <m:oMath>
        <m:r>
          <m:rPr>
            <m:sty m:val="b"/>
          </m:rPr>
          <w:rPr>
            <w:rFonts w:ascii="Cambria Math" w:hAnsi="Cambria Math"/>
            <w:sz w:val="20"/>
            <w:szCs w:val="20"/>
          </w:rPr>
          <m:t>v</m:t>
        </m:r>
        <m:r>
          <m:rPr>
            <m:sty m:val="p"/>
          </m:rPr>
          <w:rPr>
            <w:rFonts w:ascii="Cambria Math" w:hAnsi="Cambria Math"/>
            <w:sz w:val="20"/>
            <w:szCs w:val="20"/>
          </w:rPr>
          <m:t>⋅fs</m:t>
        </m:r>
      </m:oMath>
      <w:r>
        <w:rPr>
          <w:rFonts w:hint="eastAsia" w:ascii="Times New Roman" w:hAnsi="Times New Roman"/>
          <w:sz w:val="20"/>
          <w:szCs w:val="20"/>
        </w:rPr>
        <w:t>,</w:t>
      </w:r>
      <w:r>
        <w:rPr>
          <w:rFonts w:ascii="Times New Roman" w:hAnsi="Times New Roman"/>
          <w:sz w:val="20"/>
          <w:szCs w:val="20"/>
        </w:rPr>
        <w:t xml:space="preserve"> where </w:t>
      </w:r>
      <m:oMath>
        <m:r>
          <m:rPr>
            <m:sty m:val="b"/>
          </m:rPr>
          <w:rPr>
            <w:rFonts w:ascii="Cambria Math" w:hAnsi="Cambria Math"/>
            <w:sz w:val="20"/>
            <w:szCs w:val="20"/>
          </w:rPr>
          <m:t>v</m:t>
        </m:r>
      </m:oMath>
      <w:r>
        <w:rPr>
          <w:rFonts w:hint="eastAsia" w:ascii="Times New Roman" w:hAnsi="Times New Roman"/>
          <w:b/>
          <w:sz w:val="20"/>
          <w:szCs w:val="20"/>
        </w:rPr>
        <w:t xml:space="preserve"> </w:t>
      </w:r>
      <w:r>
        <w:rPr>
          <w:rFonts w:ascii="Times New Roman" w:hAnsi="Times New Roman"/>
          <w:sz w:val="20"/>
          <w:szCs w:val="20"/>
        </w:rPr>
        <w:t>is an SD basis, f is an element of the FD basis, and s is one element in the CSI-RS sequence. In Step 3, for each CSI-RS port, i.e., each pair of SD basis and FD basis, what UE can observe is the beamformed channel by setting the delay to FD basis 0. UE can do average in frequency domain to decompress the noise, interference and residual delay vectors. Then UE can select the best ports and perform a wideband SVD to derive the coefficients.</w:t>
      </w:r>
    </w:p>
    <w:p>
      <w:pPr>
        <w:pStyle w:val="3"/>
        <w:widowControl/>
        <w:numPr>
          <w:ilvl w:val="0"/>
          <w:numId w:val="0"/>
        </w:numPr>
        <w:autoSpaceDE/>
        <w:autoSpaceDN/>
        <w:adjustRightInd/>
        <w:snapToGrid w:val="0"/>
        <w:spacing w:after="180" w:afterLines="50" w:line="240" w:lineRule="auto"/>
        <w:ind w:left="432" w:hanging="432"/>
        <w:rPr>
          <w:rFonts w:ascii="Arial" w:hAnsi="Arial"/>
          <w:bCs w:val="0"/>
          <w:sz w:val="24"/>
          <w:szCs w:val="24"/>
          <w:lang w:val="en-US"/>
        </w:rPr>
      </w:pPr>
      <w:r>
        <w:rPr>
          <w:rFonts w:hint="eastAsia" w:ascii="Arial" w:hAnsi="Arial"/>
          <w:bCs w:val="0"/>
          <w:sz w:val="24"/>
          <w:szCs w:val="24"/>
          <w:lang w:val="en-US"/>
        </w:rPr>
        <w:t>3</w:t>
      </w:r>
      <w:r>
        <w:rPr>
          <w:rFonts w:ascii="Arial" w:hAnsi="Arial"/>
          <w:bCs w:val="0"/>
          <w:sz w:val="24"/>
          <w:szCs w:val="24"/>
          <w:lang w:val="en-US"/>
        </w:rPr>
        <w:t>.2 Codebook structure and reporting details</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w:t>
      </w:r>
      <w:r>
        <w:rPr>
          <w:rFonts w:ascii="Times New Roman" w:hAnsi="Times New Roman"/>
          <w:sz w:val="20"/>
          <w:szCs w:val="20"/>
        </w:rPr>
        <w:t>n RAN1#103e, 8 alternatives on codebook structure have been proposed for Type II/eType II port selection enhancement. They are summarized in the following Table 3-1.</w:t>
      </w:r>
    </w:p>
    <w:p>
      <w:pPr>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Table 3-1 Alternatives on codebook structure</w:t>
      </w:r>
    </w:p>
    <w:tbl>
      <w:tblPr>
        <w:tblStyle w:val="2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94"/>
        <w:gridCol w:w="83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tcPr>
          <w:p>
            <w:pPr>
              <w:snapToGrid w:val="0"/>
              <w:spacing w:before="180" w:beforeLines="50" w:after="180" w:afterLines="50" w:line="240" w:lineRule="auto"/>
              <w:rPr>
                <w:rFonts w:ascii="Times New Roman" w:hAnsi="Times New Roman"/>
                <w:sz w:val="20"/>
                <w:szCs w:val="20"/>
              </w:rPr>
            </w:pPr>
            <w:r>
              <w:rPr>
                <w:rFonts w:hint="eastAsia" w:ascii="Times New Roman" w:hAnsi="Times New Roman"/>
                <w:sz w:val="20"/>
                <w:szCs w:val="20"/>
              </w:rPr>
              <w:t>A</w:t>
            </w:r>
            <w:r>
              <w:rPr>
                <w:rFonts w:ascii="Times New Roman" w:hAnsi="Times New Roman"/>
                <w:sz w:val="20"/>
                <w:szCs w:val="20"/>
              </w:rPr>
              <w:t>lternatives</w:t>
            </w:r>
          </w:p>
        </w:tc>
        <w:tc>
          <w:tcPr>
            <w:tcW w:w="0" w:type="auto"/>
          </w:tcPr>
          <w:p>
            <w:pPr>
              <w:snapToGrid w:val="0"/>
              <w:spacing w:before="180" w:beforeLines="50" w:after="180" w:afterLines="50" w:line="240" w:lineRule="auto"/>
              <w:rPr>
                <w:rFonts w:ascii="Times New Roman" w:hAnsi="Times New Roman"/>
                <w:sz w:val="20"/>
                <w:szCs w:val="20"/>
              </w:rPr>
            </w:pPr>
            <w:r>
              <w:rPr>
                <w:rFonts w:hint="eastAsia" w:ascii="Times New Roman" w:hAnsi="Times New Roman"/>
                <w:sz w:val="20"/>
                <w:szCs w:val="20"/>
              </w:rPr>
              <w:t>D</w:t>
            </w:r>
            <w:r>
              <w:rPr>
                <w:rFonts w:ascii="Times New Roman" w:hAnsi="Times New Roman"/>
                <w:sz w:val="20"/>
                <w:szCs w:val="20"/>
              </w:rPr>
              <w:t>escription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tcPr>
          <w:p>
            <w:pPr>
              <w:snapToGrid w:val="0"/>
              <w:spacing w:before="180" w:beforeLines="50" w:after="180" w:afterLines="50" w:line="240" w:lineRule="auto"/>
              <w:rPr>
                <w:rFonts w:ascii="Times New Roman" w:hAnsi="Times New Roman"/>
                <w:sz w:val="20"/>
                <w:szCs w:val="20"/>
              </w:rPr>
            </w:pPr>
            <w:r>
              <w:rPr>
                <w:rFonts w:hint="eastAsia" w:ascii="Times New Roman" w:hAnsi="Times New Roman"/>
                <w:sz w:val="20"/>
                <w:szCs w:val="20"/>
              </w:rPr>
              <w:t>A</w:t>
            </w:r>
            <w:r>
              <w:rPr>
                <w:rFonts w:ascii="Times New Roman" w:hAnsi="Times New Roman"/>
                <w:sz w:val="20"/>
                <w:szCs w:val="20"/>
              </w:rPr>
              <w:t>lt 0</w:t>
            </w:r>
          </w:p>
        </w:tc>
        <w:tc>
          <w:tcPr>
            <w:tcW w:w="0" w:type="auto"/>
          </w:tcPr>
          <w:p>
            <w:pPr>
              <w:snapToGrid w:val="0"/>
              <w:spacing w:before="180" w:beforeLines="50" w:after="180" w:afterLines="50" w:line="240" w:lineRule="auto"/>
              <w:rPr>
                <w:rFonts w:ascii="Times New Roman" w:hAnsi="Times New Roman"/>
                <w:sz w:val="20"/>
                <w:szCs w:val="20"/>
              </w:rPr>
            </w:pPr>
            <w:r>
              <w:rPr>
                <w:rFonts w:ascii="Times New Roman" w:hAnsi="Times New Roman"/>
                <w:sz w:val="20"/>
                <w:szCs w:val="20"/>
              </w:rPr>
              <w:t>W1*W2 or W1*W2*Wf, where W1 is an identity matrix</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tcPr>
          <w:p>
            <w:pPr>
              <w:snapToGrid w:val="0"/>
              <w:spacing w:before="180" w:beforeLines="50" w:after="180" w:afterLines="50" w:line="240" w:lineRule="auto"/>
              <w:rPr>
                <w:rFonts w:ascii="Times New Roman" w:hAnsi="Times New Roman"/>
                <w:sz w:val="20"/>
                <w:szCs w:val="20"/>
              </w:rPr>
            </w:pPr>
            <w:r>
              <w:rPr>
                <w:rFonts w:hint="eastAsia" w:ascii="Times New Roman" w:hAnsi="Times New Roman"/>
                <w:sz w:val="20"/>
                <w:szCs w:val="20"/>
              </w:rPr>
              <w:t>A</w:t>
            </w:r>
            <w:r>
              <w:rPr>
                <w:rFonts w:ascii="Times New Roman" w:hAnsi="Times New Roman"/>
                <w:sz w:val="20"/>
                <w:szCs w:val="20"/>
              </w:rPr>
              <w:t>lt 1</w:t>
            </w:r>
          </w:p>
        </w:tc>
        <w:tc>
          <w:tcPr>
            <w:tcW w:w="0" w:type="auto"/>
          </w:tcPr>
          <w:p>
            <w:pPr>
              <w:snapToGrid w:val="0"/>
              <w:spacing w:before="180" w:beforeLines="50" w:after="180" w:afterLines="50" w:line="240" w:lineRule="auto"/>
              <w:rPr>
                <w:rFonts w:ascii="Times New Roman" w:hAnsi="Times New Roman"/>
                <w:sz w:val="20"/>
                <w:szCs w:val="20"/>
              </w:rPr>
            </w:pPr>
            <w:r>
              <w:rPr>
                <w:rFonts w:hint="eastAsia" w:ascii="Times New Roman" w:hAnsi="Times New Roman"/>
                <w:sz w:val="20"/>
                <w:szCs w:val="20"/>
              </w:rPr>
              <w:t>W</w:t>
            </w:r>
            <w:r>
              <w:rPr>
                <w:rFonts w:ascii="Times New Roman" w:hAnsi="Times New Roman"/>
                <w:sz w:val="20"/>
                <w:szCs w:val="20"/>
              </w:rPr>
              <w:t>1*W2, where W1 performs port selection, and W2 contains combination coefficients. Each CSI-RS port is mapped to one SD-FD pairs.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tcPr>
          <w:p>
            <w:pPr>
              <w:snapToGrid w:val="0"/>
              <w:spacing w:before="180" w:beforeLines="50" w:after="180" w:afterLines="50" w:line="240" w:lineRule="auto"/>
              <w:rPr>
                <w:rFonts w:ascii="Times New Roman" w:hAnsi="Times New Roman"/>
                <w:sz w:val="20"/>
                <w:szCs w:val="20"/>
              </w:rPr>
            </w:pPr>
            <w:r>
              <w:rPr>
                <w:rFonts w:hint="eastAsia" w:ascii="Times New Roman" w:hAnsi="Times New Roman"/>
                <w:sz w:val="20"/>
                <w:szCs w:val="20"/>
              </w:rPr>
              <w:t>A</w:t>
            </w:r>
            <w:r>
              <w:rPr>
                <w:rFonts w:ascii="Times New Roman" w:hAnsi="Times New Roman"/>
                <w:sz w:val="20"/>
                <w:szCs w:val="20"/>
              </w:rPr>
              <w:t>lt 2</w:t>
            </w:r>
          </w:p>
        </w:tc>
        <w:tc>
          <w:tcPr>
            <w:tcW w:w="0" w:type="auto"/>
          </w:tcPr>
          <w:p>
            <w:pPr>
              <w:snapToGrid w:val="0"/>
              <w:spacing w:before="180" w:beforeLines="50" w:after="180" w:afterLines="50" w:line="240" w:lineRule="auto"/>
              <w:rPr>
                <w:rFonts w:ascii="Times New Roman" w:hAnsi="Times New Roman"/>
                <w:sz w:val="20"/>
                <w:szCs w:val="20"/>
              </w:rPr>
            </w:pPr>
            <w:r>
              <w:rPr>
                <w:rFonts w:hint="eastAsia" w:ascii="Times New Roman" w:hAnsi="Times New Roman"/>
                <w:sz w:val="20"/>
                <w:szCs w:val="20"/>
              </w:rPr>
              <w:t>W</w:t>
            </w:r>
            <w:r>
              <w:rPr>
                <w:rFonts w:ascii="Times New Roman" w:hAnsi="Times New Roman"/>
                <w:sz w:val="20"/>
                <w:szCs w:val="20"/>
              </w:rPr>
              <w:t>1*W2, where W1 performs SD-FD pair selection, and W2 contains combination coefficients. Each CSI-RS port can be mapped to more than 1 SD-FD pairs.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tcPr>
          <w:p>
            <w:pPr>
              <w:snapToGrid w:val="0"/>
              <w:spacing w:before="180" w:beforeLines="50" w:after="180" w:afterLines="50" w:line="240" w:lineRule="auto"/>
              <w:rPr>
                <w:rFonts w:ascii="Times New Roman" w:hAnsi="Times New Roman"/>
                <w:sz w:val="20"/>
                <w:szCs w:val="20"/>
              </w:rPr>
            </w:pPr>
            <w:r>
              <w:rPr>
                <w:rFonts w:hint="eastAsia" w:ascii="Times New Roman" w:hAnsi="Times New Roman"/>
                <w:sz w:val="20"/>
                <w:szCs w:val="20"/>
              </w:rPr>
              <w:t>A</w:t>
            </w:r>
            <w:r>
              <w:rPr>
                <w:rFonts w:ascii="Times New Roman" w:hAnsi="Times New Roman"/>
                <w:sz w:val="20"/>
                <w:szCs w:val="20"/>
              </w:rPr>
              <w:t>lt 3-0</w:t>
            </w:r>
          </w:p>
        </w:tc>
        <w:tc>
          <w:tcPr>
            <w:tcW w:w="0" w:type="auto"/>
          </w:tcPr>
          <w:p>
            <w:pPr>
              <w:snapToGrid w:val="0"/>
              <w:spacing w:before="180" w:beforeLines="50" w:after="180" w:afterLines="50" w:line="240" w:lineRule="auto"/>
              <w:rPr>
                <w:rFonts w:ascii="Times New Roman" w:hAnsi="Times New Roman"/>
                <w:sz w:val="20"/>
                <w:szCs w:val="20"/>
              </w:rPr>
            </w:pPr>
            <w:r>
              <w:rPr>
                <w:rFonts w:hint="eastAsia" w:ascii="Times New Roman" w:hAnsi="Times New Roman"/>
                <w:sz w:val="20"/>
                <w:szCs w:val="20"/>
              </w:rPr>
              <w:t>W</w:t>
            </w:r>
            <w:r>
              <w:rPr>
                <w:rFonts w:ascii="Times New Roman" w:hAnsi="Times New Roman"/>
                <w:sz w:val="20"/>
                <w:szCs w:val="20"/>
              </w:rPr>
              <w:t>1*W2*Wf, where W1 performs port selection, W2 contains combination coefficients, and Wf contains one or more DFT vectors. Each CSI-RS port is mapped to 1 SD-FD pair.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tcPr>
          <w:p>
            <w:pPr>
              <w:snapToGrid w:val="0"/>
              <w:spacing w:before="180" w:beforeLines="50" w:after="180" w:afterLines="50" w:line="240" w:lineRule="auto"/>
              <w:rPr>
                <w:rFonts w:ascii="Times New Roman" w:hAnsi="Times New Roman"/>
                <w:sz w:val="20"/>
                <w:szCs w:val="20"/>
              </w:rPr>
            </w:pPr>
            <w:r>
              <w:rPr>
                <w:rFonts w:hint="eastAsia" w:ascii="Times New Roman" w:hAnsi="Times New Roman"/>
                <w:sz w:val="20"/>
                <w:szCs w:val="20"/>
              </w:rPr>
              <w:t>A</w:t>
            </w:r>
            <w:r>
              <w:rPr>
                <w:rFonts w:ascii="Times New Roman" w:hAnsi="Times New Roman"/>
                <w:sz w:val="20"/>
                <w:szCs w:val="20"/>
              </w:rPr>
              <w:t>lt 3-1</w:t>
            </w:r>
          </w:p>
        </w:tc>
        <w:tc>
          <w:tcPr>
            <w:tcW w:w="0" w:type="auto"/>
          </w:tcPr>
          <w:p>
            <w:pPr>
              <w:snapToGrid w:val="0"/>
              <w:spacing w:before="180" w:beforeLines="50" w:after="180" w:afterLines="50" w:line="240" w:lineRule="auto"/>
              <w:rPr>
                <w:rFonts w:ascii="Times New Roman" w:hAnsi="Times New Roman"/>
                <w:sz w:val="20"/>
                <w:szCs w:val="20"/>
              </w:rPr>
            </w:pPr>
            <w:r>
              <w:rPr>
                <w:rFonts w:ascii="Times New Roman" w:hAnsi="Times New Roman"/>
                <w:sz w:val="20"/>
                <w:szCs w:val="20"/>
              </w:rPr>
              <w:t>Incorrect formulation of Alt 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tcPr>
          <w:p>
            <w:pPr>
              <w:snapToGrid w:val="0"/>
              <w:spacing w:before="180" w:beforeLines="50" w:after="180" w:afterLines="50" w:line="240" w:lineRule="auto"/>
              <w:rPr>
                <w:rFonts w:ascii="Times New Roman" w:hAnsi="Times New Roman"/>
                <w:sz w:val="20"/>
                <w:szCs w:val="20"/>
              </w:rPr>
            </w:pPr>
            <w:r>
              <w:rPr>
                <w:rFonts w:hint="eastAsia" w:ascii="Times New Roman" w:hAnsi="Times New Roman"/>
                <w:sz w:val="20"/>
                <w:szCs w:val="20"/>
              </w:rPr>
              <w:t>A</w:t>
            </w:r>
            <w:r>
              <w:rPr>
                <w:rFonts w:ascii="Times New Roman" w:hAnsi="Times New Roman"/>
                <w:sz w:val="20"/>
                <w:szCs w:val="20"/>
              </w:rPr>
              <w:t>lt 3-2</w:t>
            </w:r>
          </w:p>
        </w:tc>
        <w:tc>
          <w:tcPr>
            <w:tcW w:w="0" w:type="auto"/>
          </w:tcPr>
          <w:p>
            <w:pPr>
              <w:snapToGrid w:val="0"/>
              <w:spacing w:before="180" w:beforeLines="50" w:after="180" w:afterLines="50" w:line="240" w:lineRule="auto"/>
              <w:rPr>
                <w:rFonts w:ascii="Times New Roman" w:hAnsi="Times New Roman"/>
                <w:sz w:val="20"/>
                <w:szCs w:val="20"/>
              </w:rPr>
            </w:pPr>
            <w:r>
              <w:rPr>
                <w:rFonts w:hint="eastAsia" w:ascii="Times New Roman" w:hAnsi="Times New Roman"/>
                <w:sz w:val="20"/>
                <w:szCs w:val="20"/>
              </w:rPr>
              <w:t>W</w:t>
            </w:r>
            <w:r>
              <w:rPr>
                <w:rFonts w:ascii="Times New Roman" w:hAnsi="Times New Roman"/>
                <w:sz w:val="20"/>
                <w:szCs w:val="20"/>
              </w:rPr>
              <w:t>1*W2*Wf, where W1 performs port selection, Wf performs SD-FD pair selection from the SD-FD pairs mapped to one port, and W2 contains combination coefficients. Each CSI-RS port can be mapped to more than 1 SD-FD pairs.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tcPr>
          <w:p>
            <w:pPr>
              <w:snapToGrid w:val="0"/>
              <w:spacing w:before="180" w:beforeLines="50" w:after="180" w:afterLines="50" w:line="240" w:lineRule="auto"/>
              <w:rPr>
                <w:rFonts w:ascii="Times New Roman" w:hAnsi="Times New Roman"/>
                <w:sz w:val="20"/>
                <w:szCs w:val="20"/>
              </w:rPr>
            </w:pPr>
            <w:r>
              <w:rPr>
                <w:rFonts w:hint="eastAsia" w:ascii="Times New Roman" w:hAnsi="Times New Roman"/>
                <w:sz w:val="20"/>
                <w:szCs w:val="20"/>
              </w:rPr>
              <w:t>A</w:t>
            </w:r>
            <w:r>
              <w:rPr>
                <w:rFonts w:ascii="Times New Roman" w:hAnsi="Times New Roman"/>
                <w:sz w:val="20"/>
                <w:szCs w:val="20"/>
              </w:rPr>
              <w:t>lt 4</w:t>
            </w:r>
          </w:p>
        </w:tc>
        <w:tc>
          <w:tcPr>
            <w:tcW w:w="0" w:type="auto"/>
          </w:tcPr>
          <w:p>
            <w:pPr>
              <w:snapToGrid w:val="0"/>
              <w:spacing w:before="180" w:beforeLines="50" w:after="180" w:afterLines="50" w:line="240" w:lineRule="auto"/>
              <w:rPr>
                <w:rFonts w:ascii="Times New Roman" w:hAnsi="Times New Roman"/>
                <w:sz w:val="20"/>
                <w:szCs w:val="20"/>
              </w:rPr>
            </w:pPr>
            <w:r>
              <w:rPr>
                <w:rFonts w:hint="eastAsia" w:ascii="Times New Roman" w:hAnsi="Times New Roman"/>
                <w:sz w:val="20"/>
                <w:szCs w:val="20"/>
              </w:rPr>
              <w:t>W</w:t>
            </w:r>
            <w:r>
              <w:rPr>
                <w:rFonts w:ascii="Times New Roman" w:hAnsi="Times New Roman"/>
                <w:sz w:val="20"/>
                <w:szCs w:val="20"/>
              </w:rPr>
              <w:t xml:space="preserve">1*W2*Wf, where W1 performs port group selection, Wf performs port selection from the port groups selected from W1, and W2 contains combination coefficients.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tcPr>
          <w:p>
            <w:pPr>
              <w:snapToGrid w:val="0"/>
              <w:spacing w:before="180" w:beforeLines="50" w:after="180" w:afterLines="50" w:line="240" w:lineRule="auto"/>
              <w:rPr>
                <w:rFonts w:ascii="Times New Roman" w:hAnsi="Times New Roman"/>
                <w:sz w:val="20"/>
                <w:szCs w:val="20"/>
              </w:rPr>
            </w:pPr>
            <w:r>
              <w:rPr>
                <w:rFonts w:hint="eastAsia" w:ascii="Times New Roman" w:hAnsi="Times New Roman"/>
                <w:sz w:val="20"/>
                <w:szCs w:val="20"/>
              </w:rPr>
              <w:t>A</w:t>
            </w:r>
            <w:r>
              <w:rPr>
                <w:rFonts w:ascii="Times New Roman" w:hAnsi="Times New Roman"/>
                <w:sz w:val="20"/>
                <w:szCs w:val="20"/>
              </w:rPr>
              <w:t>lt 5</w:t>
            </w:r>
          </w:p>
        </w:tc>
        <w:tc>
          <w:tcPr>
            <w:tcW w:w="0" w:type="auto"/>
          </w:tcPr>
          <w:p>
            <w:pPr>
              <w:snapToGrid w:val="0"/>
              <w:spacing w:before="180" w:beforeLines="50" w:after="180" w:afterLines="50" w:line="240" w:lineRule="auto"/>
              <w:rPr>
                <w:rFonts w:ascii="Times New Roman" w:hAnsi="Times New Roman"/>
                <w:sz w:val="20"/>
                <w:szCs w:val="20"/>
              </w:rPr>
            </w:pPr>
            <w:r>
              <w:rPr>
                <w:rFonts w:hint="eastAsia" w:ascii="Times New Roman" w:hAnsi="Times New Roman"/>
                <w:sz w:val="20"/>
                <w:szCs w:val="20"/>
              </w:rPr>
              <w:t>W</w:t>
            </w:r>
            <w:r>
              <w:rPr>
                <w:rFonts w:ascii="Times New Roman" w:hAnsi="Times New Roman"/>
                <w:sz w:val="20"/>
                <w:szCs w:val="20"/>
              </w:rPr>
              <w:t>1*W2*Wf, where W1 performs port selection, W2 contains combination coefficients, and Wf contains one or more DFT vectors. Each CSI-RS port can be mapped to 1 SD-FD pair.</w:t>
            </w:r>
          </w:p>
        </w:tc>
      </w:tr>
    </w:tbl>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B</w:t>
      </w:r>
      <w:r>
        <w:rPr>
          <w:rFonts w:ascii="Times New Roman" w:hAnsi="Times New Roman"/>
          <w:sz w:val="20"/>
          <w:szCs w:val="20"/>
        </w:rPr>
        <w:t>ased on Table 3-1, we can observe</w:t>
      </w:r>
    </w:p>
    <w:p>
      <w:pPr>
        <w:pStyle w:val="96"/>
        <w:numPr>
          <w:ilvl w:val="0"/>
          <w:numId w:val="11"/>
        </w:numPr>
        <w:snapToGrid w:val="0"/>
        <w:spacing w:before="180" w:beforeLines="50" w:after="180" w:afterLines="50" w:line="240" w:lineRule="auto"/>
        <w:ind w:leftChars="0"/>
        <w:jc w:val="both"/>
        <w:rPr>
          <w:rFonts w:ascii="Times New Roman" w:hAnsi="Times New Roman"/>
          <w:sz w:val="20"/>
          <w:szCs w:val="20"/>
        </w:rPr>
      </w:pPr>
      <w:r>
        <w:rPr>
          <w:rFonts w:hint="eastAsia" w:ascii="Times New Roman" w:hAnsi="Times New Roman"/>
          <w:sz w:val="20"/>
          <w:szCs w:val="20"/>
        </w:rPr>
        <w:t>A</w:t>
      </w:r>
      <w:r>
        <w:rPr>
          <w:rFonts w:ascii="Times New Roman" w:hAnsi="Times New Roman"/>
          <w:sz w:val="20"/>
          <w:szCs w:val="20"/>
        </w:rPr>
        <w:t>lt 0 is a special case of other alternatives, which can be discussed later.</w:t>
      </w:r>
    </w:p>
    <w:p>
      <w:pPr>
        <w:pStyle w:val="96"/>
        <w:numPr>
          <w:ilvl w:val="0"/>
          <w:numId w:val="11"/>
        </w:numPr>
        <w:snapToGrid w:val="0"/>
        <w:spacing w:before="180" w:beforeLines="50" w:after="180" w:afterLines="50" w:line="240" w:lineRule="auto"/>
        <w:ind w:leftChars="0"/>
        <w:jc w:val="both"/>
        <w:rPr>
          <w:rFonts w:ascii="Times New Roman" w:hAnsi="Times New Roman"/>
          <w:sz w:val="20"/>
          <w:szCs w:val="20"/>
        </w:rPr>
      </w:pPr>
      <w:r>
        <w:rPr>
          <w:rFonts w:ascii="Times New Roman" w:hAnsi="Times New Roman"/>
          <w:sz w:val="20"/>
          <w:szCs w:val="20"/>
        </w:rPr>
        <w:t>Alt 3-2 performs two-step SD-FD pair selection instead of free selection as in Alt 2. Hence the final selection of SD-FD pair is a special case or subset Alt 2, with potential performance reduction.</w:t>
      </w:r>
    </w:p>
    <w:p>
      <w:pPr>
        <w:pStyle w:val="96"/>
        <w:numPr>
          <w:ilvl w:val="0"/>
          <w:numId w:val="11"/>
        </w:numPr>
        <w:snapToGrid w:val="0"/>
        <w:spacing w:before="180" w:beforeLines="50" w:after="180" w:afterLines="50" w:line="240" w:lineRule="auto"/>
        <w:ind w:leftChars="0"/>
        <w:jc w:val="both"/>
        <w:rPr>
          <w:rFonts w:ascii="Times New Roman" w:hAnsi="Times New Roman"/>
          <w:sz w:val="20"/>
          <w:szCs w:val="20"/>
        </w:rPr>
      </w:pPr>
      <w:r>
        <w:rPr>
          <w:rFonts w:ascii="Times New Roman" w:hAnsi="Times New Roman"/>
          <w:sz w:val="20"/>
          <w:szCs w:val="20"/>
        </w:rPr>
        <w:t>Alt 4 performs two-step port selection instead of free selection as in Alt 1 or Alt 2. Hence the final selection of SD-FD pair is a special case or subset of Alt 1 or Alt 2, with potential performance reduction.</w:t>
      </w:r>
    </w:p>
    <w:p>
      <w:pPr>
        <w:snapToGrid w:val="0"/>
        <w:spacing w:before="180" w:beforeLines="50" w:after="180" w:afterLines="50" w:line="240" w:lineRule="auto"/>
        <w:jc w:val="both"/>
        <w:rPr>
          <w:rFonts w:ascii="Times New Roman" w:hAnsi="Times New Roman"/>
          <w:i/>
          <w:sz w:val="20"/>
          <w:szCs w:val="20"/>
        </w:rPr>
      </w:pPr>
      <w:r>
        <w:rPr>
          <w:rFonts w:hint="eastAsia" w:ascii="Times New Roman" w:hAnsi="Times New Roman"/>
          <w:b/>
          <w:i/>
          <w:sz w:val="20"/>
          <w:szCs w:val="20"/>
        </w:rPr>
        <w:t>O</w:t>
      </w:r>
      <w:r>
        <w:rPr>
          <w:rFonts w:ascii="Times New Roman" w:hAnsi="Times New Roman"/>
          <w:b/>
          <w:i/>
          <w:sz w:val="20"/>
          <w:szCs w:val="20"/>
        </w:rPr>
        <w:t xml:space="preserve">bservation 1: </w:t>
      </w:r>
      <w:r>
        <w:rPr>
          <w:rFonts w:ascii="Times New Roman" w:hAnsi="Times New Roman"/>
          <w:i/>
          <w:sz w:val="20"/>
          <w:szCs w:val="20"/>
        </w:rPr>
        <w:t xml:space="preserve">Among all the codebook alternatives, </w:t>
      </w:r>
    </w:p>
    <w:p>
      <w:pPr>
        <w:pStyle w:val="96"/>
        <w:numPr>
          <w:ilvl w:val="0"/>
          <w:numId w:val="11"/>
        </w:numPr>
        <w:snapToGrid w:val="0"/>
        <w:spacing w:before="180" w:beforeLines="50" w:after="180" w:afterLines="50" w:line="240" w:lineRule="auto"/>
        <w:ind w:leftChars="0"/>
        <w:jc w:val="both"/>
        <w:rPr>
          <w:rFonts w:ascii="Times New Roman" w:hAnsi="Times New Roman"/>
          <w:i/>
          <w:sz w:val="20"/>
          <w:szCs w:val="20"/>
        </w:rPr>
      </w:pPr>
      <w:r>
        <w:rPr>
          <w:rFonts w:hint="eastAsia" w:ascii="Times New Roman" w:hAnsi="Times New Roman"/>
          <w:i/>
          <w:sz w:val="20"/>
          <w:szCs w:val="20"/>
        </w:rPr>
        <w:t>A</w:t>
      </w:r>
      <w:r>
        <w:rPr>
          <w:rFonts w:ascii="Times New Roman" w:hAnsi="Times New Roman"/>
          <w:i/>
          <w:sz w:val="20"/>
          <w:szCs w:val="20"/>
        </w:rPr>
        <w:t>lt 0 is a special case of other alternatives.</w:t>
      </w:r>
    </w:p>
    <w:p>
      <w:pPr>
        <w:pStyle w:val="96"/>
        <w:numPr>
          <w:ilvl w:val="0"/>
          <w:numId w:val="11"/>
        </w:numPr>
        <w:snapToGrid w:val="0"/>
        <w:spacing w:before="180" w:beforeLines="50" w:after="180" w:afterLines="50" w:line="240" w:lineRule="auto"/>
        <w:ind w:leftChars="0"/>
        <w:jc w:val="both"/>
        <w:rPr>
          <w:rFonts w:ascii="Times New Roman" w:hAnsi="Times New Roman"/>
          <w:i/>
          <w:sz w:val="20"/>
          <w:szCs w:val="20"/>
        </w:rPr>
      </w:pPr>
      <w:r>
        <w:rPr>
          <w:rFonts w:ascii="Times New Roman" w:hAnsi="Times New Roman"/>
          <w:i/>
          <w:sz w:val="20"/>
          <w:szCs w:val="20"/>
        </w:rPr>
        <w:t>Alt 3-2 is a special case of Alt 2.</w:t>
      </w:r>
    </w:p>
    <w:p>
      <w:pPr>
        <w:pStyle w:val="96"/>
        <w:numPr>
          <w:ilvl w:val="0"/>
          <w:numId w:val="11"/>
        </w:numPr>
        <w:snapToGrid w:val="0"/>
        <w:spacing w:before="180" w:beforeLines="50" w:after="180" w:afterLines="50" w:line="240" w:lineRule="auto"/>
        <w:ind w:leftChars="0"/>
        <w:jc w:val="both"/>
        <w:rPr>
          <w:rFonts w:ascii="Times New Roman" w:hAnsi="Times New Roman"/>
          <w:i/>
          <w:sz w:val="20"/>
          <w:szCs w:val="20"/>
        </w:rPr>
      </w:pPr>
      <w:r>
        <w:rPr>
          <w:rFonts w:ascii="Times New Roman" w:hAnsi="Times New Roman"/>
          <w:i/>
          <w:sz w:val="20"/>
          <w:szCs w:val="20"/>
        </w:rPr>
        <w:t>Alt 4 is a special case of Alt 1 or Alt 2.</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B</w:t>
      </w:r>
      <w:r>
        <w:rPr>
          <w:rFonts w:ascii="Times New Roman" w:hAnsi="Times New Roman"/>
          <w:sz w:val="20"/>
          <w:szCs w:val="20"/>
        </w:rPr>
        <w:t>ased on the observation given above, we will focus on Alt 1, Alt 2, Alt 3-0 and Alt 5 in the remaining part of this contribution. Among these alternatives,</w:t>
      </w:r>
    </w:p>
    <w:p>
      <w:pPr>
        <w:pStyle w:val="96"/>
        <w:numPr>
          <w:ilvl w:val="0"/>
          <w:numId w:val="11"/>
        </w:numPr>
        <w:snapToGrid w:val="0"/>
        <w:spacing w:before="180" w:beforeLines="50" w:after="180" w:afterLines="50" w:line="240" w:lineRule="auto"/>
        <w:ind w:leftChars="0"/>
        <w:jc w:val="both"/>
        <w:rPr>
          <w:rFonts w:ascii="Times New Roman" w:hAnsi="Times New Roman"/>
          <w:sz w:val="20"/>
          <w:szCs w:val="20"/>
        </w:rPr>
      </w:pPr>
      <w:r>
        <w:rPr>
          <w:rFonts w:hint="eastAsia" w:ascii="Times New Roman" w:hAnsi="Times New Roman"/>
          <w:sz w:val="20"/>
          <w:szCs w:val="20"/>
        </w:rPr>
        <w:t>A</w:t>
      </w:r>
      <w:r>
        <w:rPr>
          <w:rFonts w:ascii="Times New Roman" w:hAnsi="Times New Roman"/>
          <w:sz w:val="20"/>
          <w:szCs w:val="20"/>
        </w:rPr>
        <w:t>lt 1 can be seen as a baseline for all these proposed codebooks.</w:t>
      </w:r>
    </w:p>
    <w:p>
      <w:pPr>
        <w:pStyle w:val="96"/>
        <w:numPr>
          <w:ilvl w:val="0"/>
          <w:numId w:val="11"/>
        </w:numPr>
        <w:snapToGrid w:val="0"/>
        <w:spacing w:before="180" w:beforeLines="50" w:after="180" w:afterLines="50" w:line="240" w:lineRule="auto"/>
        <w:ind w:leftChars="0"/>
        <w:jc w:val="both"/>
        <w:rPr>
          <w:rFonts w:ascii="Times New Roman" w:hAnsi="Times New Roman"/>
          <w:sz w:val="20"/>
          <w:szCs w:val="20"/>
        </w:rPr>
      </w:pPr>
      <w:r>
        <w:rPr>
          <w:rFonts w:ascii="Times New Roman" w:hAnsi="Times New Roman"/>
          <w:sz w:val="20"/>
          <w:szCs w:val="20"/>
        </w:rPr>
        <w:t>Alt 2, Alt 3-0 and Alt 5 can be seen as enhancement on Alt 1 aiming to solve a similar issue, which is the large CSI-RS overhead caused by UE specific precoding.</w:t>
      </w:r>
    </w:p>
    <w:p>
      <w:pPr>
        <w:pStyle w:val="96"/>
        <w:numPr>
          <w:ilvl w:val="1"/>
          <w:numId w:val="11"/>
        </w:numPr>
        <w:snapToGrid w:val="0"/>
        <w:spacing w:before="180" w:beforeLines="50" w:after="180" w:afterLines="50" w:line="240" w:lineRule="auto"/>
        <w:ind w:leftChars="0"/>
        <w:jc w:val="both"/>
        <w:rPr>
          <w:rFonts w:ascii="Times New Roman" w:hAnsi="Times New Roman"/>
          <w:sz w:val="20"/>
          <w:szCs w:val="20"/>
        </w:rPr>
      </w:pPr>
      <w:r>
        <w:rPr>
          <w:rFonts w:ascii="Times New Roman" w:hAnsi="Times New Roman"/>
          <w:sz w:val="20"/>
          <w:szCs w:val="20"/>
        </w:rPr>
        <w:t xml:space="preserve">The solution in Alt 2 is to map more than 1 </w:t>
      </w:r>
      <w:r>
        <w:rPr>
          <w:rFonts w:hint="eastAsia" w:ascii="Times New Roman" w:hAnsi="Times New Roman"/>
          <w:sz w:val="20"/>
          <w:szCs w:val="20"/>
        </w:rPr>
        <w:t>SD-</w:t>
      </w:r>
      <w:r>
        <w:rPr>
          <w:rFonts w:ascii="Times New Roman" w:hAnsi="Times New Roman"/>
          <w:sz w:val="20"/>
          <w:szCs w:val="20"/>
        </w:rPr>
        <w:t>FD pairs to one CSI-RS port. Then for N SD-FD pairs selected by gNB, only N/2-port or N/4-port CSI-RS is needed. Thus CSI-RS overhead is reduced. Another dimension of resources (e.g., frequency domain resources) needs to be used to distinguish multiple SD-FD pair mapped to one CSI-RS port.</w:t>
      </w:r>
    </w:p>
    <w:p>
      <w:pPr>
        <w:pStyle w:val="96"/>
        <w:numPr>
          <w:ilvl w:val="1"/>
          <w:numId w:val="11"/>
        </w:numPr>
        <w:snapToGrid w:val="0"/>
        <w:spacing w:before="180" w:beforeLines="50" w:after="180" w:afterLines="50" w:line="240" w:lineRule="auto"/>
        <w:ind w:leftChars="0"/>
        <w:jc w:val="both"/>
        <w:rPr>
          <w:rFonts w:ascii="Times New Roman" w:hAnsi="Times New Roman"/>
          <w:sz w:val="20"/>
          <w:szCs w:val="20"/>
        </w:rPr>
      </w:pPr>
      <w:r>
        <w:rPr>
          <w:rFonts w:ascii="Times New Roman" w:hAnsi="Times New Roman"/>
          <w:sz w:val="20"/>
          <w:szCs w:val="20"/>
        </w:rPr>
        <w:t>The solution in Alt 3-0 is to let UE report a portion of the frequency-selectivity by using DFT vectors in Wf, so that gNB does not need to contain a large number of FD base vectors in CSI-RS. Then CSI-RS overhead can be reduced.</w:t>
      </w:r>
    </w:p>
    <w:p>
      <w:pPr>
        <w:pStyle w:val="96"/>
        <w:numPr>
          <w:ilvl w:val="1"/>
          <w:numId w:val="11"/>
        </w:numPr>
        <w:snapToGrid w:val="0"/>
        <w:spacing w:before="180" w:beforeLines="50" w:after="180" w:afterLines="50" w:line="240" w:lineRule="auto"/>
        <w:ind w:leftChars="0"/>
        <w:jc w:val="both"/>
        <w:rPr>
          <w:rFonts w:ascii="Times New Roman" w:hAnsi="Times New Roman"/>
          <w:sz w:val="20"/>
          <w:szCs w:val="20"/>
        </w:rPr>
      </w:pPr>
      <w:r>
        <w:rPr>
          <w:rFonts w:ascii="Times New Roman" w:hAnsi="Times New Roman"/>
          <w:sz w:val="20"/>
          <w:szCs w:val="20"/>
        </w:rPr>
        <w:t>Alt 5 uses both the solution in Alt 2 and the solution in Alt 3-0.</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In Alt 2 and Alt 5, a mapping of multiple SD-FD pairs to one CSI-RS port. We have to note that as CSI-RS enhancement is not included in the scope of this item as given in Section 1. Hence any change to the transmission or pattern of CSI-RS should be avoided. With such restriction, the following two options can be identified.</w:t>
      </w:r>
    </w:p>
    <w:p>
      <w:pPr>
        <w:pStyle w:val="96"/>
        <w:numPr>
          <w:ilvl w:val="0"/>
          <w:numId w:val="11"/>
        </w:numPr>
        <w:snapToGrid w:val="0"/>
        <w:spacing w:before="180" w:beforeLines="50" w:after="180" w:afterLines="50" w:line="240" w:lineRule="auto"/>
        <w:ind w:leftChars="0"/>
        <w:jc w:val="both"/>
        <w:rPr>
          <w:rFonts w:ascii="Times New Roman" w:hAnsi="Times New Roman"/>
          <w:sz w:val="20"/>
          <w:szCs w:val="20"/>
        </w:rPr>
      </w:pPr>
      <w:r>
        <w:rPr>
          <w:rFonts w:hint="eastAsia" w:ascii="Times New Roman" w:hAnsi="Times New Roman"/>
          <w:sz w:val="20"/>
          <w:szCs w:val="20"/>
        </w:rPr>
        <w:t>O</w:t>
      </w:r>
      <w:r>
        <w:rPr>
          <w:rFonts w:ascii="Times New Roman" w:hAnsi="Times New Roman"/>
          <w:sz w:val="20"/>
          <w:szCs w:val="20"/>
        </w:rPr>
        <w:t xml:space="preserve">pt 1: 2 </w:t>
      </w:r>
      <w:r>
        <w:rPr>
          <w:rFonts w:hint="eastAsia" w:ascii="Times New Roman" w:hAnsi="Times New Roman"/>
          <w:sz w:val="20"/>
          <w:szCs w:val="20"/>
        </w:rPr>
        <w:t>or</w:t>
      </w:r>
      <w:r>
        <w:rPr>
          <w:rFonts w:ascii="Times New Roman" w:hAnsi="Times New Roman"/>
          <w:sz w:val="20"/>
          <w:szCs w:val="20"/>
        </w:rPr>
        <w:t xml:space="preserve"> 4 SD-FD pairs are FDMed mapped to 1 port. One example is shown in Fig. 3-2, where CSI-RS ports in odd RBs are different SD-FD pairs compared to CSI-RS ports in even RBs.</w:t>
      </w:r>
    </w:p>
    <w:p>
      <w:pPr>
        <w:pStyle w:val="96"/>
        <w:numPr>
          <w:ilvl w:val="0"/>
          <w:numId w:val="11"/>
        </w:numPr>
        <w:snapToGrid w:val="0"/>
        <w:spacing w:before="180" w:beforeLines="50" w:after="180" w:afterLines="50" w:line="240" w:lineRule="auto"/>
        <w:ind w:leftChars="0"/>
        <w:jc w:val="both"/>
        <w:rPr>
          <w:rFonts w:ascii="Times New Roman" w:hAnsi="Times New Roman"/>
          <w:sz w:val="20"/>
          <w:szCs w:val="20"/>
        </w:rPr>
      </w:pPr>
      <w:r>
        <w:rPr>
          <w:rFonts w:ascii="Times New Roman" w:hAnsi="Times New Roman"/>
          <w:sz w:val="20"/>
          <w:szCs w:val="20"/>
        </w:rPr>
        <w:t>Opt 2: Aggregating multiple CSI-RS resources to generate one PMI. For example, gNB configure 2 resources to generate one PMI, where each resource has 0.5 density. W1 selects SD-FD pairs freely from all the ports of the two CSI-RS resources. This approach can achieve a same result as in Fig. 3-2.</w:t>
      </w:r>
    </w:p>
    <w:p>
      <w:pPr>
        <w:snapToGrid w:val="0"/>
        <w:spacing w:before="180" w:beforeLines="50" w:after="180" w:afterLines="50" w:line="240" w:lineRule="auto"/>
        <w:jc w:val="center"/>
        <w:rPr>
          <w:rFonts w:ascii="Times New Roman" w:hAnsi="Times New Roman"/>
          <w:sz w:val="20"/>
          <w:szCs w:val="20"/>
        </w:rPr>
      </w:pPr>
      <w:r>
        <w:drawing>
          <wp:inline distT="0" distB="0" distL="0" distR="0">
            <wp:extent cx="2213610" cy="634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27"/>
                    <a:stretch>
                      <a:fillRect/>
                    </a:stretch>
                  </pic:blipFill>
                  <pic:spPr>
                    <a:xfrm>
                      <a:off x="0" y="0"/>
                      <a:ext cx="2247853" cy="644290"/>
                    </a:xfrm>
                    <a:prstGeom prst="rect">
                      <a:avLst/>
                    </a:prstGeom>
                  </pic:spPr>
                </pic:pic>
              </a:graphicData>
            </a:graphic>
          </wp:inline>
        </w:drawing>
      </w:r>
    </w:p>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F</w:t>
      </w:r>
      <w:r>
        <w:rPr>
          <w:rFonts w:ascii="Times New Roman" w:hAnsi="Times New Roman"/>
          <w:sz w:val="20"/>
          <w:szCs w:val="20"/>
        </w:rPr>
        <w:t>ig. 3-2 An example of FDM mapping of more than one SD-FD pairs to one CSI-RS port</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B</w:t>
      </w:r>
      <w:r>
        <w:rPr>
          <w:rFonts w:ascii="Times New Roman" w:hAnsi="Times New Roman"/>
          <w:sz w:val="20"/>
          <w:szCs w:val="20"/>
        </w:rPr>
        <w:t>esides the above two options, there are some other potential solutions proposed in last meeting, which requires change on the current CSI-RS design. For example, TDM approach requiring to define a new pattern of one CSI-RS resource in two adjacent slots, CDM approach requiring to introduce new OCC code mapping, and 0.25 density requiring to introduce new CSI-RS pattern with 0.25 density.</w:t>
      </w:r>
    </w:p>
    <w:p>
      <w:pPr>
        <w:pStyle w:val="3"/>
        <w:widowControl/>
        <w:numPr>
          <w:ilvl w:val="0"/>
          <w:numId w:val="0"/>
        </w:numPr>
        <w:autoSpaceDE/>
        <w:autoSpaceDN/>
        <w:adjustRightInd/>
        <w:snapToGrid w:val="0"/>
        <w:spacing w:after="180" w:afterLines="50" w:line="240" w:lineRule="auto"/>
        <w:ind w:left="432" w:hanging="432"/>
        <w:rPr>
          <w:rFonts w:ascii="Arial" w:hAnsi="Arial"/>
          <w:bCs w:val="0"/>
          <w:sz w:val="24"/>
          <w:szCs w:val="24"/>
          <w:lang w:val="en-US"/>
        </w:rPr>
      </w:pPr>
      <w:r>
        <w:rPr>
          <w:rFonts w:ascii="Arial" w:hAnsi="Arial"/>
          <w:bCs w:val="0"/>
          <w:sz w:val="24"/>
          <w:szCs w:val="24"/>
          <w:lang w:val="en-US"/>
        </w:rPr>
        <w:t>3.3 Evaluation results</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T</w:t>
      </w:r>
      <w:r>
        <w:rPr>
          <w:rFonts w:ascii="Times New Roman" w:hAnsi="Times New Roman"/>
          <w:sz w:val="20"/>
          <w:szCs w:val="20"/>
        </w:rPr>
        <w:t>o compare the solutions in these alternatives, we perform system level simulations to evaluate their performance. For N SD-FD pairs selected by gNB, the following detailed schemes are simulated.</w:t>
      </w:r>
    </w:p>
    <w:p>
      <w:pPr>
        <w:pStyle w:val="96"/>
        <w:numPr>
          <w:ilvl w:val="0"/>
          <w:numId w:val="12"/>
        </w:numPr>
        <w:snapToGrid w:val="0"/>
        <w:spacing w:before="180" w:beforeLines="50" w:after="180" w:afterLines="50" w:line="240" w:lineRule="auto"/>
        <w:ind w:leftChars="0"/>
        <w:jc w:val="both"/>
        <w:rPr>
          <w:rFonts w:ascii="Times New Roman" w:hAnsi="Times New Roman"/>
          <w:sz w:val="20"/>
          <w:szCs w:val="20"/>
        </w:rPr>
      </w:pPr>
      <w:r>
        <w:rPr>
          <w:rFonts w:hint="eastAsia" w:ascii="Times New Roman" w:hAnsi="Times New Roman"/>
          <w:sz w:val="20"/>
          <w:szCs w:val="20"/>
        </w:rPr>
        <w:t>A</w:t>
      </w:r>
      <w:r>
        <w:rPr>
          <w:rFonts w:ascii="Times New Roman" w:hAnsi="Times New Roman"/>
          <w:sz w:val="20"/>
          <w:szCs w:val="20"/>
        </w:rPr>
        <w:t>lt 1</w:t>
      </w:r>
    </w:p>
    <w:p>
      <w:pPr>
        <w:pStyle w:val="96"/>
        <w:numPr>
          <w:ilvl w:val="0"/>
          <w:numId w:val="12"/>
        </w:numPr>
        <w:snapToGrid w:val="0"/>
        <w:spacing w:before="180" w:beforeLines="50" w:after="180" w:afterLines="50" w:line="240" w:lineRule="auto"/>
        <w:ind w:leftChars="0"/>
        <w:jc w:val="both"/>
        <w:rPr>
          <w:rFonts w:ascii="Times New Roman" w:hAnsi="Times New Roman"/>
          <w:sz w:val="20"/>
          <w:szCs w:val="20"/>
        </w:rPr>
      </w:pPr>
      <w:r>
        <w:rPr>
          <w:rFonts w:ascii="Times New Roman" w:hAnsi="Times New Roman"/>
          <w:sz w:val="20"/>
          <w:szCs w:val="20"/>
        </w:rPr>
        <w:t>Alt 2 with FDM mapping from SD-FD pairs to CSI-RS ports</w:t>
      </w:r>
    </w:p>
    <w:p>
      <w:pPr>
        <w:pStyle w:val="96"/>
        <w:numPr>
          <w:ilvl w:val="0"/>
          <w:numId w:val="12"/>
        </w:numPr>
        <w:snapToGrid w:val="0"/>
        <w:spacing w:before="180" w:beforeLines="50" w:after="180" w:afterLines="50" w:line="240" w:lineRule="auto"/>
        <w:ind w:leftChars="0"/>
        <w:jc w:val="both"/>
        <w:rPr>
          <w:rFonts w:ascii="Times New Roman" w:hAnsi="Times New Roman"/>
          <w:sz w:val="20"/>
          <w:szCs w:val="20"/>
        </w:rPr>
      </w:pPr>
      <w:r>
        <w:rPr>
          <w:rFonts w:ascii="Times New Roman" w:hAnsi="Times New Roman"/>
          <w:sz w:val="20"/>
          <w:szCs w:val="20"/>
        </w:rPr>
        <w:t>Alt 3-0-1: One DFT vectors selected in Wf</w:t>
      </w:r>
    </w:p>
    <w:p>
      <w:pPr>
        <w:pStyle w:val="96"/>
        <w:numPr>
          <w:ilvl w:val="0"/>
          <w:numId w:val="12"/>
        </w:numPr>
        <w:snapToGrid w:val="0"/>
        <w:spacing w:before="180" w:beforeLines="50" w:after="180" w:afterLines="50" w:line="240" w:lineRule="auto"/>
        <w:ind w:leftChars="0"/>
        <w:jc w:val="both"/>
        <w:rPr>
          <w:rFonts w:ascii="Times New Roman" w:hAnsi="Times New Roman"/>
          <w:sz w:val="20"/>
          <w:szCs w:val="20"/>
        </w:rPr>
      </w:pPr>
      <w:r>
        <w:rPr>
          <w:rFonts w:ascii="Times New Roman" w:hAnsi="Times New Roman"/>
          <w:sz w:val="20"/>
          <w:szCs w:val="20"/>
        </w:rPr>
        <w:t>Alt 3-0-2: Two DFT vector selected in Wf</w:t>
      </w:r>
    </w:p>
    <w:p>
      <w:pPr>
        <w:pStyle w:val="96"/>
        <w:numPr>
          <w:ilvl w:val="0"/>
          <w:numId w:val="12"/>
        </w:numPr>
        <w:snapToGrid w:val="0"/>
        <w:spacing w:before="180" w:beforeLines="50" w:after="180" w:afterLines="50" w:line="240" w:lineRule="auto"/>
        <w:ind w:leftChars="0"/>
        <w:jc w:val="both"/>
        <w:rPr>
          <w:rFonts w:ascii="Times New Roman" w:hAnsi="Times New Roman"/>
          <w:sz w:val="20"/>
          <w:szCs w:val="20"/>
        </w:rPr>
      </w:pPr>
      <w:r>
        <w:rPr>
          <w:rFonts w:ascii="Times New Roman" w:hAnsi="Times New Roman"/>
          <w:sz w:val="20"/>
          <w:szCs w:val="20"/>
        </w:rPr>
        <w:t>Alt 5-1: One DFT vectors selected in Wf, FDM mapping from SD-FD pairs to CSI-RS ports</w:t>
      </w:r>
    </w:p>
    <w:p>
      <w:pPr>
        <w:pStyle w:val="96"/>
        <w:numPr>
          <w:ilvl w:val="0"/>
          <w:numId w:val="12"/>
        </w:numPr>
        <w:snapToGrid w:val="0"/>
        <w:spacing w:before="180" w:beforeLines="50" w:after="180" w:afterLines="50" w:line="240" w:lineRule="auto"/>
        <w:ind w:leftChars="0"/>
        <w:jc w:val="both"/>
        <w:rPr>
          <w:rFonts w:ascii="Times New Roman" w:hAnsi="Times New Roman"/>
          <w:sz w:val="20"/>
          <w:szCs w:val="20"/>
        </w:rPr>
      </w:pPr>
      <w:r>
        <w:rPr>
          <w:rFonts w:hint="eastAsia" w:ascii="Times New Roman" w:hAnsi="Times New Roman"/>
          <w:sz w:val="20"/>
          <w:szCs w:val="20"/>
        </w:rPr>
        <w:t>A</w:t>
      </w:r>
      <w:r>
        <w:rPr>
          <w:rFonts w:ascii="Times New Roman" w:hAnsi="Times New Roman"/>
          <w:sz w:val="20"/>
          <w:szCs w:val="20"/>
        </w:rPr>
        <w:t>lt 5-2: Two DFT vectors selected in Wf, FDM mapping from SD-FD pairs to CSI-RS ports</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To make a fair comparison among all these alternatives, we assume a same number of non-zero coefficients are selected for all of them.</w:t>
      </w:r>
      <w:r>
        <w:rPr>
          <w:rFonts w:hint="eastAsia" w:ascii="Times New Roman" w:hAnsi="Times New Roman"/>
          <w:sz w:val="20"/>
          <w:szCs w:val="20"/>
        </w:rPr>
        <w:t xml:space="preserve"> </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Simulation results are given in Fig. 3-3 and Fig. 3-4. </w:t>
      </w:r>
    </w:p>
    <w:p>
      <w:pPr>
        <w:numPr>
          <w:ilvl w:val="0"/>
          <w:numId w:val="12"/>
        </w:numPr>
        <w:tabs>
          <w:tab w:val="clear" w:pos="420"/>
        </w:tabs>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In each of the Rel-17 curve, N values include 16, 32, 48 and 64, which are similar as 2K0 in Rel-16. </w:t>
      </w:r>
    </w:p>
    <w:p>
      <w:pPr>
        <w:numPr>
          <w:ilvl w:val="0"/>
          <w:numId w:val="12"/>
        </w:numPr>
        <w:tabs>
          <w:tab w:val="clear" w:pos="420"/>
        </w:tabs>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UE selects maximum N/2 non-zero coefficients per layer, and maximum N non-zero coefficients across all layers. </w:t>
      </w:r>
    </w:p>
    <w:p>
      <w:pPr>
        <w:numPr>
          <w:ilvl w:val="0"/>
          <w:numId w:val="12"/>
        </w:numPr>
        <w:tabs>
          <w:tab w:val="clear" w:pos="420"/>
        </w:tabs>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The maximum rank is 4 per UE. </w:t>
      </w:r>
    </w:p>
    <w:p>
      <w:pPr>
        <w:numPr>
          <w:ilvl w:val="0"/>
          <w:numId w:val="12"/>
        </w:numPr>
        <w:tabs>
          <w:tab w:val="clear" w:pos="420"/>
        </w:tabs>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FD vectors in CSI-RS precoding are 16x-oversampling DFT vectors, and SD vectors are CSI-RS precoding is 4x-4x-oversampling 2D-DFT vectors. </w:t>
      </w:r>
    </w:p>
    <w:p>
      <w:pPr>
        <w:numPr>
          <w:ilvl w:val="0"/>
          <w:numId w:val="12"/>
        </w:numPr>
        <w:tabs>
          <w:tab w:val="clear" w:pos="420"/>
        </w:tabs>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UE-specific CSI-RS overhead is taken into account when calculating throughput. CSI-RS is assumed in a semi-persistent way. When data arrives for a UE, CSI-RS starts to be transmitted every 5 ms, and the CSI-RS transmission terminates when all the data transmission (including initial transmission and retransmission) of one UE and one packet completes.</w:t>
      </w:r>
    </w:p>
    <w:p>
      <w:pPr>
        <w:numPr>
          <w:ilvl w:val="0"/>
          <w:numId w:val="12"/>
        </w:numPr>
        <w:tabs>
          <w:tab w:val="clear" w:pos="420"/>
        </w:tabs>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The other simulation assumptions are given in Table 6 of Appendix.</w:t>
      </w:r>
    </w:p>
    <w:p>
      <w:pPr>
        <w:snapToGrid w:val="0"/>
        <w:spacing w:before="180" w:beforeLines="50" w:after="180" w:afterLines="50" w:line="240" w:lineRule="auto"/>
        <w:ind w:right="220" w:rightChars="100"/>
        <w:jc w:val="center"/>
        <w:rPr>
          <w:rFonts w:ascii="Times New Roman" w:hAnsi="Times New Roman"/>
          <w:sz w:val="20"/>
          <w:szCs w:val="20"/>
        </w:rPr>
      </w:pPr>
      <w:r>
        <w:drawing>
          <wp:inline distT="0" distB="0" distL="114300" distR="114300">
            <wp:extent cx="4923790" cy="253555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28"/>
                    <a:stretch>
                      <a:fillRect/>
                    </a:stretch>
                  </pic:blipFill>
                  <pic:spPr>
                    <a:xfrm>
                      <a:off x="0" y="0"/>
                      <a:ext cx="4934305" cy="2541411"/>
                    </a:xfrm>
                    <a:prstGeom prst="rect">
                      <a:avLst/>
                    </a:prstGeom>
                    <a:noFill/>
                    <a:ln>
                      <a:noFill/>
                    </a:ln>
                  </pic:spPr>
                </pic:pic>
              </a:graphicData>
            </a:graphic>
          </wp:inline>
        </w:drawing>
      </w:r>
    </w:p>
    <w:p>
      <w:pPr>
        <w:snapToGrid w:val="0"/>
        <w:spacing w:before="180" w:beforeLines="50" w:after="180" w:afterLines="50" w:line="240" w:lineRule="auto"/>
        <w:ind w:right="220" w:rightChars="100"/>
        <w:jc w:val="center"/>
        <w:rPr>
          <w:rFonts w:ascii="Times New Roman" w:hAnsi="Times New Roman"/>
          <w:sz w:val="20"/>
          <w:szCs w:val="20"/>
        </w:rPr>
      </w:pPr>
      <w:r>
        <w:rPr>
          <w:rFonts w:ascii="Times New Roman" w:hAnsi="Times New Roman"/>
          <w:sz w:val="20"/>
          <w:szCs w:val="20"/>
        </w:rPr>
        <w:t>(a) Performance of Alt 1, Alt 2, Alt 3-0-1 and Alt 5-1</w:t>
      </w:r>
    </w:p>
    <w:p>
      <w:pPr>
        <w:snapToGrid w:val="0"/>
        <w:spacing w:before="180" w:beforeLines="50" w:after="180" w:afterLines="50" w:line="240" w:lineRule="auto"/>
        <w:ind w:right="220" w:rightChars="100"/>
        <w:jc w:val="center"/>
        <w:rPr>
          <w:rFonts w:ascii="Times New Roman" w:hAnsi="Times New Roman"/>
          <w:sz w:val="20"/>
          <w:szCs w:val="20"/>
        </w:rPr>
      </w:pPr>
      <w:r>
        <w:drawing>
          <wp:inline distT="0" distB="0" distL="114300" distR="114300">
            <wp:extent cx="5075555" cy="2593340"/>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29"/>
                    <a:stretch>
                      <a:fillRect/>
                    </a:stretch>
                  </pic:blipFill>
                  <pic:spPr>
                    <a:xfrm>
                      <a:off x="0" y="0"/>
                      <a:ext cx="5090341" cy="2601021"/>
                    </a:xfrm>
                    <a:prstGeom prst="rect">
                      <a:avLst/>
                    </a:prstGeom>
                    <a:noFill/>
                    <a:ln>
                      <a:noFill/>
                    </a:ln>
                  </pic:spPr>
                </pic:pic>
              </a:graphicData>
            </a:graphic>
          </wp:inline>
        </w:drawing>
      </w:r>
    </w:p>
    <w:p>
      <w:pPr>
        <w:snapToGrid w:val="0"/>
        <w:spacing w:before="180" w:beforeLines="50" w:after="180" w:afterLines="50" w:line="240" w:lineRule="auto"/>
        <w:ind w:right="220" w:rightChars="100"/>
        <w:jc w:val="center"/>
        <w:rPr>
          <w:rFonts w:ascii="Times New Roman" w:hAnsi="Times New Roman"/>
          <w:sz w:val="20"/>
          <w:szCs w:val="20"/>
        </w:rPr>
      </w:pPr>
      <w:r>
        <w:rPr>
          <w:rFonts w:hint="eastAsia" w:ascii="Times New Roman" w:hAnsi="Times New Roman"/>
          <w:sz w:val="20"/>
          <w:szCs w:val="20"/>
        </w:rPr>
        <w:t>(</w:t>
      </w:r>
      <w:r>
        <w:rPr>
          <w:rFonts w:ascii="Times New Roman" w:hAnsi="Times New Roman"/>
          <w:sz w:val="20"/>
          <w:szCs w:val="20"/>
        </w:rPr>
        <w:t>b) Performance of Alt 1, Alt 2, Alt 3-0-2 and Alt 5-2</w:t>
      </w:r>
    </w:p>
    <w:p>
      <w:pPr>
        <w:snapToGrid w:val="0"/>
        <w:spacing w:before="180" w:beforeLines="50" w:after="180" w:afterLines="50" w:line="240" w:lineRule="auto"/>
        <w:ind w:right="220" w:rightChars="100"/>
        <w:jc w:val="center"/>
        <w:rPr>
          <w:rFonts w:ascii="Times New Roman" w:hAnsi="Times New Roman"/>
          <w:sz w:val="20"/>
          <w:szCs w:val="20"/>
        </w:rPr>
      </w:pPr>
      <w:r>
        <w:rPr>
          <w:rFonts w:ascii="Times New Roman" w:hAnsi="Times New Roman"/>
          <w:sz w:val="20"/>
          <w:szCs w:val="20"/>
        </w:rPr>
        <w:t>Fig. 3-3 Performance evaluation of different codebook alternatives</w:t>
      </w:r>
    </w:p>
    <w:p>
      <w:pPr>
        <w:snapToGrid w:val="0"/>
        <w:spacing w:before="180" w:beforeLines="50" w:after="180" w:afterLines="50" w:line="240" w:lineRule="auto"/>
        <w:ind w:right="220" w:rightChars="100"/>
        <w:jc w:val="center"/>
        <w:rPr>
          <w:rFonts w:ascii="Times New Roman" w:hAnsi="Times New Roman"/>
          <w:sz w:val="20"/>
          <w:szCs w:val="20"/>
        </w:rPr>
      </w:pPr>
      <w:r>
        <w:drawing>
          <wp:inline distT="0" distB="0" distL="114300" distR="114300">
            <wp:extent cx="4007485" cy="254317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30"/>
                    <a:stretch>
                      <a:fillRect/>
                    </a:stretch>
                  </pic:blipFill>
                  <pic:spPr>
                    <a:xfrm>
                      <a:off x="0" y="0"/>
                      <a:ext cx="4016311" cy="2548756"/>
                    </a:xfrm>
                    <a:prstGeom prst="rect">
                      <a:avLst/>
                    </a:prstGeom>
                    <a:noFill/>
                    <a:ln>
                      <a:noFill/>
                    </a:ln>
                  </pic:spPr>
                </pic:pic>
              </a:graphicData>
            </a:graphic>
          </wp:inline>
        </w:drawing>
      </w:r>
    </w:p>
    <w:p>
      <w:pPr>
        <w:snapToGrid w:val="0"/>
        <w:spacing w:before="180" w:beforeLines="50" w:after="180" w:afterLines="50" w:line="240" w:lineRule="auto"/>
        <w:ind w:right="220" w:rightChars="100"/>
        <w:jc w:val="center"/>
        <w:rPr>
          <w:rFonts w:ascii="Times New Roman" w:hAnsi="Times New Roman"/>
          <w:sz w:val="20"/>
          <w:szCs w:val="20"/>
        </w:rPr>
      </w:pPr>
      <w:r>
        <w:rPr>
          <w:rFonts w:hint="eastAsia" w:ascii="Times New Roman" w:hAnsi="Times New Roman"/>
          <w:sz w:val="20"/>
          <w:szCs w:val="20"/>
        </w:rPr>
        <w:t>F</w:t>
      </w:r>
      <w:r>
        <w:rPr>
          <w:rFonts w:ascii="Times New Roman" w:hAnsi="Times New Roman"/>
          <w:sz w:val="20"/>
          <w:szCs w:val="20"/>
        </w:rPr>
        <w:t>ig. 3-4 Power CDF of the first two strongest DFT vectors in Wf</w:t>
      </w:r>
    </w:p>
    <w:p>
      <w:pPr>
        <w:snapToGrid w:val="0"/>
        <w:spacing w:before="180" w:beforeLines="50" w:after="180" w:afterLines="50" w:line="240" w:lineRule="auto"/>
        <w:ind w:right="220" w:rightChars="100"/>
        <w:jc w:val="both"/>
        <w:rPr>
          <w:rFonts w:ascii="Times New Roman" w:hAnsi="Times New Roman"/>
          <w:sz w:val="20"/>
          <w:szCs w:val="20"/>
        </w:rPr>
      </w:pPr>
      <w:r>
        <w:rPr>
          <w:rFonts w:hint="eastAsia" w:ascii="Times New Roman" w:hAnsi="Times New Roman"/>
          <w:sz w:val="20"/>
          <w:szCs w:val="20"/>
        </w:rPr>
        <w:t>The</w:t>
      </w:r>
      <w:r>
        <w:rPr>
          <w:rFonts w:ascii="Times New Roman" w:hAnsi="Times New Roman"/>
          <w:sz w:val="20"/>
          <w:szCs w:val="20"/>
        </w:rPr>
        <w:t xml:space="preserve"> following observations can be drawn from the simulation results.</w:t>
      </w:r>
    </w:p>
    <w:p>
      <w:pPr>
        <w:snapToGrid w:val="0"/>
        <w:spacing w:before="180" w:beforeLines="50" w:after="180" w:afterLines="50" w:line="240" w:lineRule="auto"/>
        <w:ind w:right="220" w:rightChars="100"/>
        <w:jc w:val="both"/>
        <w:rPr>
          <w:rFonts w:ascii="Times New Roman" w:hAnsi="Times New Roman"/>
          <w:b/>
          <w:i/>
          <w:sz w:val="20"/>
          <w:szCs w:val="20"/>
        </w:rPr>
      </w:pPr>
      <w:r>
        <w:rPr>
          <w:rFonts w:ascii="Times New Roman" w:hAnsi="Times New Roman"/>
          <w:b/>
          <w:i/>
          <w:sz w:val="20"/>
          <w:szCs w:val="20"/>
        </w:rPr>
        <w:t xml:space="preserve">Observation 2: </w:t>
      </w:r>
    </w:p>
    <w:p>
      <w:pPr>
        <w:pStyle w:val="96"/>
        <w:numPr>
          <w:ilvl w:val="0"/>
          <w:numId w:val="12"/>
        </w:numPr>
        <w:tabs>
          <w:tab w:val="clear" w:pos="420"/>
        </w:tabs>
        <w:snapToGrid w:val="0"/>
        <w:spacing w:before="180" w:beforeLines="50" w:after="180" w:afterLines="50" w:line="240" w:lineRule="auto"/>
        <w:ind w:left="420" w:leftChars="0" w:right="220" w:rightChars="100"/>
        <w:jc w:val="both"/>
        <w:rPr>
          <w:rFonts w:ascii="Times New Roman" w:hAnsi="Times New Roman"/>
          <w:i/>
          <w:sz w:val="20"/>
          <w:szCs w:val="20"/>
        </w:rPr>
      </w:pPr>
      <w:r>
        <w:rPr>
          <w:rFonts w:hint="eastAsia" w:ascii="Times New Roman" w:hAnsi="Times New Roman"/>
          <w:i/>
          <w:sz w:val="20"/>
          <w:szCs w:val="20"/>
        </w:rPr>
        <w:t>F</w:t>
      </w:r>
      <w:r>
        <w:rPr>
          <w:rFonts w:ascii="Times New Roman" w:hAnsi="Times New Roman"/>
          <w:i/>
          <w:sz w:val="20"/>
          <w:szCs w:val="20"/>
        </w:rPr>
        <w:t xml:space="preserve">rom Fig. 3-3(a), it can be observed that </w:t>
      </w:r>
    </w:p>
    <w:p>
      <w:pPr>
        <w:pStyle w:val="96"/>
        <w:numPr>
          <w:ilvl w:val="0"/>
          <w:numId w:val="12"/>
        </w:numPr>
        <w:tabs>
          <w:tab w:val="clear" w:pos="420"/>
        </w:tabs>
        <w:snapToGrid w:val="0"/>
        <w:spacing w:before="180" w:beforeLines="50" w:after="180" w:afterLines="50" w:line="240" w:lineRule="auto"/>
        <w:ind w:left="220" w:leftChars="100" w:right="220" w:rightChars="100"/>
        <w:jc w:val="both"/>
        <w:rPr>
          <w:rFonts w:ascii="Times New Roman" w:hAnsi="Times New Roman"/>
          <w:i/>
          <w:sz w:val="20"/>
          <w:szCs w:val="20"/>
        </w:rPr>
      </w:pPr>
      <w:r>
        <w:rPr>
          <w:rFonts w:ascii="Times New Roman" w:hAnsi="Times New Roman"/>
          <w:i/>
          <w:sz w:val="20"/>
          <w:szCs w:val="20"/>
        </w:rPr>
        <w:t>If there is only one DFT vector in Wf, Alt 3-0 is identical to Alt 1, and Alt 5 is identical to Alt 2.</w:t>
      </w:r>
    </w:p>
    <w:p>
      <w:pPr>
        <w:pStyle w:val="96"/>
        <w:numPr>
          <w:ilvl w:val="0"/>
          <w:numId w:val="12"/>
        </w:numPr>
        <w:tabs>
          <w:tab w:val="clear" w:pos="420"/>
        </w:tabs>
        <w:snapToGrid w:val="0"/>
        <w:spacing w:before="180" w:beforeLines="50" w:after="180" w:afterLines="50" w:line="240" w:lineRule="auto"/>
        <w:ind w:left="220" w:leftChars="100" w:right="220" w:rightChars="100"/>
        <w:jc w:val="both"/>
        <w:rPr>
          <w:rFonts w:ascii="Times New Roman" w:hAnsi="Times New Roman"/>
          <w:i/>
          <w:sz w:val="20"/>
          <w:szCs w:val="20"/>
        </w:rPr>
      </w:pPr>
      <w:r>
        <w:rPr>
          <w:rFonts w:ascii="Times New Roman" w:hAnsi="Times New Roman"/>
          <w:i/>
          <w:sz w:val="20"/>
          <w:szCs w:val="20"/>
        </w:rPr>
        <w:t>Alt 2 has gain over Alt 1 from the saving of CSI-RS overhead.</w:t>
      </w:r>
    </w:p>
    <w:p>
      <w:pPr>
        <w:pStyle w:val="96"/>
        <w:numPr>
          <w:ilvl w:val="0"/>
          <w:numId w:val="12"/>
        </w:numPr>
        <w:tabs>
          <w:tab w:val="clear" w:pos="420"/>
        </w:tabs>
        <w:snapToGrid w:val="0"/>
        <w:spacing w:before="180" w:beforeLines="50" w:after="180" w:afterLines="50" w:line="240" w:lineRule="auto"/>
        <w:ind w:left="420" w:leftChars="0" w:right="220" w:rightChars="100"/>
        <w:jc w:val="both"/>
        <w:rPr>
          <w:rFonts w:ascii="Times New Roman" w:hAnsi="Times New Roman"/>
          <w:i/>
          <w:sz w:val="20"/>
          <w:szCs w:val="20"/>
        </w:rPr>
      </w:pPr>
      <w:r>
        <w:rPr>
          <w:rFonts w:hint="eastAsia" w:ascii="Times New Roman" w:hAnsi="Times New Roman"/>
          <w:i/>
          <w:sz w:val="20"/>
          <w:szCs w:val="20"/>
        </w:rPr>
        <w:t>F</w:t>
      </w:r>
      <w:r>
        <w:rPr>
          <w:rFonts w:ascii="Times New Roman" w:hAnsi="Times New Roman"/>
          <w:i/>
          <w:sz w:val="20"/>
          <w:szCs w:val="20"/>
        </w:rPr>
        <w:t>rom Fig. 3-3(b), it can be observed that</w:t>
      </w:r>
    </w:p>
    <w:p>
      <w:pPr>
        <w:pStyle w:val="96"/>
        <w:numPr>
          <w:ilvl w:val="0"/>
          <w:numId w:val="12"/>
        </w:numPr>
        <w:tabs>
          <w:tab w:val="clear" w:pos="420"/>
        </w:tabs>
        <w:snapToGrid w:val="0"/>
        <w:spacing w:before="180" w:beforeLines="50" w:after="180" w:afterLines="50" w:line="240" w:lineRule="auto"/>
        <w:ind w:left="220" w:leftChars="100" w:right="220" w:rightChars="100"/>
        <w:jc w:val="both"/>
        <w:rPr>
          <w:rFonts w:ascii="Times New Roman" w:hAnsi="Times New Roman"/>
          <w:i/>
          <w:sz w:val="20"/>
          <w:szCs w:val="20"/>
        </w:rPr>
      </w:pPr>
      <w:r>
        <w:rPr>
          <w:rFonts w:ascii="Times New Roman" w:hAnsi="Times New Roman"/>
          <w:i/>
          <w:sz w:val="20"/>
          <w:szCs w:val="20"/>
        </w:rPr>
        <w:t>Having more than 1 DFT vectors in Wf does not provide gain over Alt 1 or Alt 2. The second strongest DFT vectors in frequency domain is much weaker than the strongest one as shown in Fig. 3-4.</w:t>
      </w:r>
    </w:p>
    <w:p>
      <w:pPr>
        <w:snapToGrid w:val="0"/>
        <w:spacing w:before="180" w:beforeLines="50" w:after="180" w:afterLines="50" w:line="240" w:lineRule="auto"/>
        <w:ind w:right="220" w:rightChars="100"/>
        <w:jc w:val="both"/>
        <w:rPr>
          <w:rFonts w:ascii="Times New Roman" w:hAnsi="Times New Roman"/>
          <w:sz w:val="20"/>
          <w:szCs w:val="20"/>
        </w:rPr>
      </w:pPr>
      <w:r>
        <w:rPr>
          <w:rFonts w:hint="eastAsia" w:ascii="Times New Roman" w:hAnsi="Times New Roman"/>
          <w:sz w:val="20"/>
          <w:szCs w:val="20"/>
        </w:rPr>
        <w:t>B</w:t>
      </w:r>
      <w:r>
        <w:rPr>
          <w:rFonts w:ascii="Times New Roman" w:hAnsi="Times New Roman"/>
          <w:sz w:val="20"/>
          <w:szCs w:val="20"/>
        </w:rPr>
        <w:t>ased on the above observation and analysis, we have the following proposal.</w:t>
      </w:r>
    </w:p>
    <w:p>
      <w:pPr>
        <w:snapToGrid w:val="0"/>
        <w:spacing w:before="180" w:beforeLines="50" w:after="180" w:afterLines="50" w:line="240" w:lineRule="auto"/>
        <w:ind w:right="220" w:rightChars="100"/>
        <w:jc w:val="both"/>
        <w:rPr>
          <w:rFonts w:ascii="Times New Roman" w:hAnsi="Times New Roman"/>
          <w:i/>
          <w:sz w:val="20"/>
          <w:szCs w:val="20"/>
        </w:rPr>
      </w:pPr>
      <w:r>
        <w:rPr>
          <w:rFonts w:hint="eastAsia" w:ascii="Times New Roman" w:hAnsi="Times New Roman"/>
          <w:b/>
          <w:i/>
          <w:sz w:val="20"/>
          <w:szCs w:val="20"/>
        </w:rPr>
        <w:t>P</w:t>
      </w:r>
      <w:r>
        <w:rPr>
          <w:rFonts w:ascii="Times New Roman" w:hAnsi="Times New Roman"/>
          <w:b/>
          <w:i/>
          <w:sz w:val="20"/>
          <w:szCs w:val="20"/>
        </w:rPr>
        <w:t>roposal 4:</w:t>
      </w:r>
      <w:r>
        <w:rPr>
          <w:rFonts w:ascii="Times New Roman" w:hAnsi="Times New Roman"/>
          <w:i/>
          <w:sz w:val="20"/>
          <w:szCs w:val="20"/>
        </w:rPr>
        <w:t xml:space="preserve"> For codebook structure in Rel-17 FDD reciprocity based CSI, support Alt 2.</w:t>
      </w:r>
    </w:p>
    <w:p>
      <w:pPr>
        <w:pStyle w:val="96"/>
        <w:numPr>
          <w:ilvl w:val="0"/>
          <w:numId w:val="12"/>
        </w:numPr>
        <w:snapToGrid w:val="0"/>
        <w:spacing w:before="180" w:beforeLines="50" w:after="180" w:afterLines="50" w:line="240" w:lineRule="auto"/>
        <w:ind w:leftChars="0" w:right="220" w:rightChars="100"/>
        <w:jc w:val="both"/>
        <w:rPr>
          <w:rFonts w:ascii="Times New Roman" w:hAnsi="Times New Roman"/>
          <w:i/>
          <w:sz w:val="20"/>
          <w:szCs w:val="20"/>
        </w:rPr>
      </w:pPr>
      <w:r>
        <w:rPr>
          <w:rFonts w:ascii="Times New Roman" w:hAnsi="Times New Roman"/>
          <w:i/>
          <w:sz w:val="20"/>
          <w:szCs w:val="20"/>
        </w:rPr>
        <w:t>On the mapping between SD-FD pairs and CSI-RS ports, support one of the following.</w:t>
      </w:r>
    </w:p>
    <w:p>
      <w:pPr>
        <w:pStyle w:val="96"/>
        <w:numPr>
          <w:ilvl w:val="0"/>
          <w:numId w:val="12"/>
        </w:numPr>
        <w:snapToGrid w:val="0"/>
        <w:spacing w:before="180" w:beforeLines="50" w:after="180" w:afterLines="50" w:line="240" w:lineRule="auto"/>
        <w:ind w:left="640" w:leftChars="291" w:right="220" w:rightChars="100"/>
        <w:jc w:val="both"/>
        <w:rPr>
          <w:rFonts w:ascii="Times New Roman" w:hAnsi="Times New Roman"/>
          <w:i/>
          <w:sz w:val="20"/>
          <w:szCs w:val="20"/>
        </w:rPr>
      </w:pPr>
      <w:r>
        <w:rPr>
          <w:rFonts w:hint="eastAsia" w:ascii="Times New Roman" w:hAnsi="Times New Roman"/>
          <w:i/>
          <w:sz w:val="20"/>
          <w:szCs w:val="20"/>
        </w:rPr>
        <w:t>O</w:t>
      </w:r>
      <w:r>
        <w:rPr>
          <w:rFonts w:ascii="Times New Roman" w:hAnsi="Times New Roman"/>
          <w:i/>
          <w:sz w:val="20"/>
          <w:szCs w:val="20"/>
        </w:rPr>
        <w:t xml:space="preserve">pt 1: 2 </w:t>
      </w:r>
      <w:r>
        <w:rPr>
          <w:rFonts w:hint="eastAsia" w:ascii="Times New Roman" w:hAnsi="Times New Roman"/>
          <w:i/>
          <w:sz w:val="20"/>
          <w:szCs w:val="20"/>
        </w:rPr>
        <w:t>or</w:t>
      </w:r>
      <w:r>
        <w:rPr>
          <w:rFonts w:ascii="Times New Roman" w:hAnsi="Times New Roman"/>
          <w:i/>
          <w:sz w:val="20"/>
          <w:szCs w:val="20"/>
        </w:rPr>
        <w:t xml:space="preserve"> 4 SD-FD pairs are FDMed mapped to 1 port</w:t>
      </w:r>
    </w:p>
    <w:p>
      <w:pPr>
        <w:pStyle w:val="96"/>
        <w:numPr>
          <w:ilvl w:val="0"/>
          <w:numId w:val="12"/>
        </w:numPr>
        <w:snapToGrid w:val="0"/>
        <w:spacing w:before="180" w:beforeLines="50" w:after="180" w:afterLines="50" w:line="240" w:lineRule="auto"/>
        <w:ind w:left="640" w:leftChars="291" w:right="220" w:rightChars="100"/>
        <w:jc w:val="both"/>
        <w:rPr>
          <w:rFonts w:ascii="Times New Roman" w:hAnsi="Times New Roman"/>
          <w:i/>
          <w:sz w:val="20"/>
          <w:szCs w:val="20"/>
        </w:rPr>
      </w:pPr>
      <w:r>
        <w:rPr>
          <w:rFonts w:hint="eastAsia" w:ascii="Times New Roman" w:hAnsi="Times New Roman"/>
          <w:i/>
          <w:sz w:val="20"/>
          <w:szCs w:val="20"/>
        </w:rPr>
        <w:t>O</w:t>
      </w:r>
      <w:r>
        <w:rPr>
          <w:rFonts w:ascii="Times New Roman" w:hAnsi="Times New Roman"/>
          <w:i/>
          <w:sz w:val="20"/>
          <w:szCs w:val="20"/>
        </w:rPr>
        <w:t>pt 2: Aggregating multiple CSI-RS resources to generate one PMI</w:t>
      </w:r>
    </w:p>
    <w:p>
      <w:pPr>
        <w:pStyle w:val="2"/>
        <w:snapToGrid w:val="0"/>
        <w:spacing w:before="180" w:beforeLines="50" w:after="180" w:afterLines="50"/>
        <w:ind w:left="431" w:hanging="431"/>
        <w:rPr>
          <w:sz w:val="28"/>
          <w:lang w:val="en-US"/>
        </w:rPr>
      </w:pPr>
      <w:r>
        <w:rPr>
          <w:sz w:val="28"/>
          <w:lang w:val="en-US"/>
        </w:rPr>
        <w:t>Conclusions</w:t>
      </w:r>
    </w:p>
    <w:p>
      <w:pPr>
        <w:snapToGrid w:val="0"/>
        <w:spacing w:before="180" w:beforeLines="50" w:after="180" w:afterLines="50" w:line="240" w:lineRule="auto"/>
        <w:jc w:val="both"/>
        <w:rPr>
          <w:rFonts w:ascii="Times New Roman" w:hAnsi="Times New Roman"/>
          <w:sz w:val="20"/>
          <w:szCs w:val="20"/>
        </w:rPr>
      </w:pPr>
      <w:bookmarkStart w:id="6" w:name="OLE_LINK10"/>
      <w:bookmarkStart w:id="7" w:name="OLE_LINK11"/>
      <w:r>
        <w:rPr>
          <w:rFonts w:ascii="Times New Roman" w:hAnsi="Times New Roman"/>
          <w:sz w:val="20"/>
          <w:szCs w:val="20"/>
          <w:lang w:val="en-GB"/>
        </w:rPr>
        <w:t xml:space="preserve">In this contribution, we </w:t>
      </w:r>
      <w:r>
        <w:rPr>
          <w:rFonts w:hint="eastAsia" w:ascii="Times New Roman" w:hAnsi="Times New Roman"/>
          <w:sz w:val="20"/>
          <w:szCs w:val="20"/>
          <w:lang w:val="en-GB"/>
        </w:rPr>
        <w:t>provide</w:t>
      </w:r>
      <w:r>
        <w:rPr>
          <w:rFonts w:ascii="Times New Roman" w:hAnsi="Times New Roman"/>
          <w:sz w:val="20"/>
          <w:szCs w:val="20"/>
          <w:lang w:val="en-GB"/>
        </w:rPr>
        <w:t xml:space="preserve"> </w:t>
      </w:r>
      <w:r>
        <w:rPr>
          <w:rFonts w:hint="eastAsia" w:ascii="Times New Roman" w:hAnsi="Times New Roman"/>
          <w:sz w:val="20"/>
          <w:szCs w:val="20"/>
        </w:rPr>
        <w:t xml:space="preserve">our views to enhance CSI measurement and reporting for MTRP and </w:t>
      </w:r>
      <w:r>
        <w:rPr>
          <w:rFonts w:ascii="Times New Roman" w:hAnsi="Times New Roman"/>
          <w:sz w:val="20"/>
          <w:szCs w:val="20"/>
        </w:rPr>
        <w:t>FDD reciprocity.</w:t>
      </w:r>
    </w:p>
    <w:p>
      <w:pPr>
        <w:snapToGrid w:val="0"/>
        <w:spacing w:before="180" w:beforeLines="50" w:after="180" w:afterLines="50" w:line="240" w:lineRule="auto"/>
        <w:jc w:val="both"/>
        <w:rPr>
          <w:rFonts w:ascii="Times New Roman" w:hAnsi="Times New Roman"/>
          <w:b/>
          <w:bCs/>
          <w:sz w:val="20"/>
          <w:szCs w:val="20"/>
          <w:u w:val="single"/>
        </w:rPr>
      </w:pPr>
      <w:r>
        <w:rPr>
          <w:rFonts w:hint="eastAsia" w:ascii="Times New Roman" w:hAnsi="Times New Roman"/>
          <w:b/>
          <w:bCs/>
          <w:sz w:val="20"/>
          <w:szCs w:val="20"/>
          <w:u w:val="single"/>
        </w:rPr>
        <w:t xml:space="preserve">For MTRP CSI enhancement: </w:t>
      </w:r>
    </w:p>
    <w:p>
      <w:pPr>
        <w:snapToGrid w:val="0"/>
        <w:spacing w:after="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1: </w:t>
      </w:r>
      <w:r>
        <w:rPr>
          <w:rFonts w:hint="eastAsia" w:ascii="Times New Roman" w:hAnsi="Times New Roman"/>
          <w:i/>
          <w:iCs/>
          <w:sz w:val="20"/>
          <w:szCs w:val="20"/>
        </w:rPr>
        <w:t>Support Category 1, i.e.</w:t>
      </w:r>
    </w:p>
    <w:p>
      <w:pPr>
        <w:numPr>
          <w:ilvl w:val="0"/>
          <w:numId w:val="10"/>
        </w:numPr>
        <w:snapToGrid w:val="0"/>
        <w:spacing w:after="0" w:line="240" w:lineRule="auto"/>
        <w:jc w:val="both"/>
        <w:rPr>
          <w:rFonts w:ascii="Times New Roman" w:hAnsi="Times New Roman"/>
          <w:i/>
          <w:iCs/>
          <w:sz w:val="20"/>
          <w:szCs w:val="20"/>
        </w:rPr>
      </w:pPr>
      <w:r>
        <w:rPr>
          <w:rFonts w:ascii="Times New Roman" w:hAnsi="Times New Roman"/>
          <w:i/>
          <w:iCs/>
          <w:sz w:val="20"/>
          <w:szCs w:val="20"/>
        </w:rPr>
        <w:t xml:space="preserve">For a reporting setting CSI-ReportConfig, more than one CSI-RS port groups in a resource or resources or resource sets are associated to different TRPs/TCI states,  </w:t>
      </w:r>
    </w:p>
    <w:p>
      <w:pPr>
        <w:numPr>
          <w:ilvl w:val="1"/>
          <w:numId w:val="10"/>
        </w:numPr>
        <w:snapToGrid w:val="0"/>
        <w:spacing w:after="0" w:line="240" w:lineRule="auto"/>
        <w:jc w:val="both"/>
        <w:rPr>
          <w:rFonts w:ascii="Times New Roman" w:hAnsi="Times New Roman"/>
          <w:i/>
          <w:iCs/>
          <w:sz w:val="20"/>
          <w:szCs w:val="20"/>
        </w:rPr>
      </w:pPr>
      <w:r>
        <w:rPr>
          <w:rFonts w:ascii="Times New Roman" w:hAnsi="Times New Roman"/>
          <w:i/>
          <w:iCs/>
          <w:sz w:val="20"/>
          <w:szCs w:val="20"/>
        </w:rPr>
        <w:t>the UE will determine CSI reporting quantities based on pre-defined/indicated/configured/UE-selected channel and interference hypotheses across TRPs /TCI states</w:t>
      </w:r>
    </w:p>
    <w:p>
      <w:pPr>
        <w:numPr>
          <w:ilvl w:val="1"/>
          <w:numId w:val="10"/>
        </w:numPr>
        <w:snapToGrid w:val="0"/>
        <w:spacing w:after="0" w:line="240" w:lineRule="auto"/>
        <w:jc w:val="both"/>
        <w:rPr>
          <w:rFonts w:ascii="Times New Roman" w:hAnsi="Times New Roman"/>
          <w:sz w:val="20"/>
          <w:szCs w:val="20"/>
        </w:rPr>
      </w:pPr>
      <w:r>
        <w:rPr>
          <w:rFonts w:ascii="Times New Roman" w:hAnsi="Times New Roman"/>
          <w:i/>
          <w:iCs/>
          <w:sz w:val="20"/>
          <w:szCs w:val="20"/>
        </w:rPr>
        <w:t xml:space="preserve">and then report one or more CSIs within a single CSI report.  </w:t>
      </w:r>
    </w:p>
    <w:p>
      <w:pPr>
        <w:widowControl w:val="0"/>
        <w:snapToGrid w:val="0"/>
        <w:spacing w:after="0" w:line="240" w:lineRule="auto"/>
        <w:jc w:val="both"/>
        <w:rPr>
          <w:rFonts w:ascii="Times New Roman" w:hAnsi="Times New Roman"/>
          <w:b/>
          <w:bCs/>
          <w:i/>
          <w:iCs/>
          <w:sz w:val="20"/>
          <w:szCs w:val="20"/>
        </w:rPr>
      </w:pPr>
    </w:p>
    <w:p>
      <w:pPr>
        <w:widowControl w:val="0"/>
        <w:snapToGrid w:val="0"/>
        <w:spacing w:after="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2: </w:t>
      </w:r>
      <w:r>
        <w:rPr>
          <w:rFonts w:hint="eastAsia" w:ascii="Times New Roman" w:hAnsi="Times New Roman"/>
          <w:i/>
          <w:iCs/>
          <w:sz w:val="20"/>
          <w:szCs w:val="20"/>
        </w:rPr>
        <w:t>In one CSI-RS resource set for channel estimation</w:t>
      </w:r>
      <w:r>
        <w:rPr>
          <w:rFonts w:ascii="Times New Roman" w:hAnsi="Times New Roman"/>
          <w:i/>
          <w:iCs/>
          <w:sz w:val="20"/>
          <w:szCs w:val="20"/>
        </w:rPr>
        <w:t xml:space="preserve">, </w:t>
      </w:r>
      <w:r>
        <w:rPr>
          <w:rFonts w:hint="eastAsia" w:ascii="Times New Roman" w:hAnsi="Times New Roman"/>
          <w:i/>
          <w:iCs/>
          <w:sz w:val="20"/>
          <w:szCs w:val="20"/>
        </w:rPr>
        <w:t>two CSI-RS</w:t>
      </w:r>
      <w:r>
        <w:rPr>
          <w:rFonts w:ascii="Times New Roman" w:hAnsi="Times New Roman"/>
          <w:i/>
          <w:iCs/>
          <w:sz w:val="20"/>
          <w:szCs w:val="20"/>
        </w:rPr>
        <w:t xml:space="preserve"> resources </w:t>
      </w:r>
      <w:r>
        <w:rPr>
          <w:rFonts w:hint="eastAsia" w:ascii="Times New Roman" w:hAnsi="Times New Roman"/>
          <w:i/>
          <w:iCs/>
          <w:sz w:val="20"/>
          <w:szCs w:val="20"/>
        </w:rPr>
        <w:t>configured with the same two TCI states</w:t>
      </w:r>
      <w:r>
        <w:rPr>
          <w:rFonts w:ascii="Times New Roman" w:hAnsi="Times New Roman"/>
          <w:i/>
          <w:iCs/>
          <w:sz w:val="20"/>
          <w:szCs w:val="20"/>
        </w:rPr>
        <w:t xml:space="preserve"> are associated to different TRPs,  </w:t>
      </w:r>
    </w:p>
    <w:p>
      <w:pPr>
        <w:numPr>
          <w:ilvl w:val="0"/>
          <w:numId w:val="10"/>
        </w:numPr>
        <w:snapToGrid w:val="0"/>
        <w:spacing w:after="0" w:line="240" w:lineRule="auto"/>
        <w:jc w:val="both"/>
        <w:rPr>
          <w:rFonts w:ascii="Times New Roman" w:hAnsi="Times New Roman"/>
          <w:i/>
          <w:iCs/>
          <w:sz w:val="20"/>
          <w:szCs w:val="20"/>
        </w:rPr>
      </w:pPr>
      <w:r>
        <w:rPr>
          <w:rFonts w:hint="eastAsia" w:ascii="Times New Roman" w:hAnsi="Times New Roman"/>
          <w:i/>
          <w:iCs/>
          <w:sz w:val="20"/>
          <w:szCs w:val="20"/>
        </w:rPr>
        <w:t xml:space="preserve">If UE selects a CRI corresponding to a CSI-RS resource with two TCI states, UE will determine CSI based on the interference between the CSI-RS resource and its associated CSI-RS resource. </w:t>
      </w:r>
    </w:p>
    <w:p>
      <w:pPr>
        <w:numPr>
          <w:ilvl w:val="1"/>
          <w:numId w:val="10"/>
        </w:numPr>
        <w:snapToGrid w:val="0"/>
        <w:spacing w:after="0" w:line="240" w:lineRule="auto"/>
        <w:jc w:val="both"/>
        <w:rPr>
          <w:rFonts w:ascii="Times New Roman" w:hAnsi="Times New Roman"/>
          <w:i/>
          <w:iCs/>
          <w:sz w:val="20"/>
          <w:szCs w:val="20"/>
        </w:rPr>
      </w:pPr>
      <w:r>
        <w:rPr>
          <w:rFonts w:hint="eastAsia" w:ascii="Times New Roman" w:hAnsi="Times New Roman"/>
          <w:i/>
          <w:iCs/>
          <w:sz w:val="20"/>
          <w:szCs w:val="20"/>
        </w:rPr>
        <w:t>The CSI include</w:t>
      </w:r>
      <w:r>
        <w:rPr>
          <w:rFonts w:ascii="Times New Roman" w:hAnsi="Times New Roman"/>
          <w:i/>
          <w:iCs/>
          <w:sz w:val="20"/>
          <w:szCs w:val="20"/>
        </w:rPr>
        <w:t>s</w:t>
      </w:r>
      <w:r>
        <w:rPr>
          <w:rFonts w:hint="eastAsia" w:ascii="Times New Roman" w:hAnsi="Times New Roman"/>
          <w:i/>
          <w:iCs/>
          <w:sz w:val="20"/>
          <w:szCs w:val="20"/>
        </w:rPr>
        <w:t xml:space="preserve"> two RI, PMI, LI and one combined CQI.</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Proposal 3:</w:t>
      </w:r>
      <w:r>
        <w:rPr>
          <w:rFonts w:hint="eastAsia" w:ascii="Times New Roman" w:hAnsi="Times New Roman"/>
          <w:sz w:val="20"/>
          <w:szCs w:val="20"/>
        </w:rPr>
        <w:t xml:space="preserve"> </w:t>
      </w:r>
      <w:r>
        <w:rPr>
          <w:rFonts w:hint="eastAsia" w:ascii="Times New Roman" w:hAnsi="Times New Roman"/>
          <w:i/>
          <w:iCs/>
          <w:sz w:val="20"/>
          <w:szCs w:val="20"/>
        </w:rPr>
        <w:t xml:space="preserve">UE </w:t>
      </w:r>
      <w:r>
        <w:rPr>
          <w:rFonts w:ascii="Times New Roman" w:hAnsi="Times New Roman"/>
          <w:i/>
          <w:iCs/>
          <w:sz w:val="20"/>
          <w:szCs w:val="20"/>
        </w:rPr>
        <w:t>shall</w:t>
      </w:r>
      <w:r>
        <w:rPr>
          <w:rFonts w:hint="eastAsia" w:ascii="Times New Roman" w:hAnsi="Times New Roman"/>
          <w:i/>
          <w:iCs/>
          <w:sz w:val="20"/>
          <w:szCs w:val="20"/>
        </w:rPr>
        <w:t xml:space="preserve"> calculate interference from the coordinated TRP considering </w:t>
      </w:r>
      <w:r>
        <w:rPr>
          <w:rFonts w:ascii="Times New Roman" w:hAnsi="Times New Roman"/>
          <w:i/>
          <w:iCs/>
          <w:sz w:val="20"/>
          <w:szCs w:val="20"/>
        </w:rPr>
        <w:t>the selected</w:t>
      </w:r>
      <w:r>
        <w:rPr>
          <w:rFonts w:hint="eastAsia" w:ascii="Times New Roman" w:hAnsi="Times New Roman"/>
          <w:i/>
          <w:iCs/>
          <w:sz w:val="20"/>
          <w:szCs w:val="20"/>
        </w:rPr>
        <w:t xml:space="preserve"> precoder and beam used by the coordinated TRP.</w:t>
      </w:r>
    </w:p>
    <w:p>
      <w:pPr>
        <w:snapToGrid w:val="0"/>
        <w:spacing w:before="180" w:beforeLines="50" w:after="180" w:afterLines="50" w:line="240" w:lineRule="auto"/>
        <w:jc w:val="both"/>
        <w:rPr>
          <w:rFonts w:ascii="Times New Roman" w:hAnsi="Times New Roman"/>
          <w:i/>
          <w:iCs/>
          <w:sz w:val="20"/>
          <w:szCs w:val="20"/>
        </w:rPr>
      </w:pP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sz w:val="20"/>
          <w:szCs w:val="20"/>
          <w:u w:val="single"/>
        </w:rPr>
        <w:t>For CSI enhancement based on FDD reciprocity:</w:t>
      </w:r>
    </w:p>
    <w:p>
      <w:pPr>
        <w:snapToGrid w:val="0"/>
        <w:spacing w:before="180" w:beforeLines="50" w:after="180" w:afterLines="50" w:line="240" w:lineRule="auto"/>
        <w:jc w:val="both"/>
        <w:rPr>
          <w:rFonts w:ascii="Times New Roman" w:hAnsi="Times New Roman"/>
          <w:i/>
          <w:sz w:val="20"/>
          <w:szCs w:val="20"/>
        </w:rPr>
      </w:pPr>
      <w:r>
        <w:rPr>
          <w:rFonts w:hint="eastAsia" w:ascii="Times New Roman" w:hAnsi="Times New Roman"/>
          <w:b/>
          <w:i/>
          <w:sz w:val="20"/>
          <w:szCs w:val="20"/>
        </w:rPr>
        <w:t>O</w:t>
      </w:r>
      <w:r>
        <w:rPr>
          <w:rFonts w:ascii="Times New Roman" w:hAnsi="Times New Roman"/>
          <w:b/>
          <w:i/>
          <w:sz w:val="20"/>
          <w:szCs w:val="20"/>
        </w:rPr>
        <w:t xml:space="preserve">bservation 1: </w:t>
      </w:r>
      <w:r>
        <w:rPr>
          <w:rFonts w:ascii="Times New Roman" w:hAnsi="Times New Roman"/>
          <w:i/>
          <w:sz w:val="20"/>
          <w:szCs w:val="20"/>
        </w:rPr>
        <w:t xml:space="preserve">Among all the codebook alternatives, </w:t>
      </w:r>
    </w:p>
    <w:p>
      <w:pPr>
        <w:pStyle w:val="96"/>
        <w:numPr>
          <w:ilvl w:val="0"/>
          <w:numId w:val="11"/>
        </w:numPr>
        <w:snapToGrid w:val="0"/>
        <w:spacing w:before="180" w:beforeLines="50" w:after="180" w:afterLines="50" w:line="240" w:lineRule="auto"/>
        <w:ind w:leftChars="0"/>
        <w:jc w:val="both"/>
        <w:rPr>
          <w:rFonts w:ascii="Times New Roman" w:hAnsi="Times New Roman"/>
          <w:i/>
          <w:sz w:val="20"/>
          <w:szCs w:val="20"/>
        </w:rPr>
      </w:pPr>
      <w:r>
        <w:rPr>
          <w:rFonts w:hint="eastAsia" w:ascii="Times New Roman" w:hAnsi="Times New Roman"/>
          <w:i/>
          <w:sz w:val="20"/>
          <w:szCs w:val="20"/>
        </w:rPr>
        <w:t>A</w:t>
      </w:r>
      <w:r>
        <w:rPr>
          <w:rFonts w:ascii="Times New Roman" w:hAnsi="Times New Roman"/>
          <w:i/>
          <w:sz w:val="20"/>
          <w:szCs w:val="20"/>
        </w:rPr>
        <w:t>lt 0 is a special case of other alternatives.</w:t>
      </w:r>
    </w:p>
    <w:p>
      <w:pPr>
        <w:pStyle w:val="96"/>
        <w:numPr>
          <w:ilvl w:val="0"/>
          <w:numId w:val="11"/>
        </w:numPr>
        <w:snapToGrid w:val="0"/>
        <w:spacing w:before="180" w:beforeLines="50" w:after="180" w:afterLines="50" w:line="240" w:lineRule="auto"/>
        <w:ind w:leftChars="0"/>
        <w:jc w:val="both"/>
        <w:rPr>
          <w:rFonts w:ascii="Times New Roman" w:hAnsi="Times New Roman"/>
          <w:i/>
          <w:sz w:val="20"/>
          <w:szCs w:val="20"/>
        </w:rPr>
      </w:pPr>
      <w:r>
        <w:rPr>
          <w:rFonts w:ascii="Times New Roman" w:hAnsi="Times New Roman"/>
          <w:i/>
          <w:sz w:val="20"/>
          <w:szCs w:val="20"/>
        </w:rPr>
        <w:t>Alt 3-2 is a special case of Alt 2.</w:t>
      </w:r>
    </w:p>
    <w:p>
      <w:pPr>
        <w:pStyle w:val="96"/>
        <w:numPr>
          <w:ilvl w:val="0"/>
          <w:numId w:val="11"/>
        </w:numPr>
        <w:snapToGrid w:val="0"/>
        <w:spacing w:before="180" w:beforeLines="50" w:after="180" w:afterLines="50" w:line="240" w:lineRule="auto"/>
        <w:ind w:leftChars="0"/>
        <w:jc w:val="both"/>
        <w:rPr>
          <w:rFonts w:ascii="Times New Roman" w:hAnsi="Times New Roman"/>
          <w:i/>
          <w:sz w:val="20"/>
          <w:szCs w:val="20"/>
        </w:rPr>
      </w:pPr>
      <w:r>
        <w:rPr>
          <w:rFonts w:ascii="Times New Roman" w:hAnsi="Times New Roman"/>
          <w:i/>
          <w:sz w:val="20"/>
          <w:szCs w:val="20"/>
        </w:rPr>
        <w:t>Alt 4 is a special case of Alt 1 or Alt 2.</w:t>
      </w:r>
    </w:p>
    <w:p>
      <w:pPr>
        <w:snapToGrid w:val="0"/>
        <w:spacing w:before="180" w:beforeLines="50" w:after="180" w:afterLines="50" w:line="240" w:lineRule="auto"/>
        <w:ind w:right="220" w:rightChars="100"/>
        <w:jc w:val="both"/>
        <w:rPr>
          <w:rFonts w:ascii="Times New Roman" w:hAnsi="Times New Roman"/>
          <w:b/>
          <w:i/>
          <w:sz w:val="20"/>
          <w:szCs w:val="20"/>
        </w:rPr>
      </w:pPr>
      <w:r>
        <w:rPr>
          <w:rFonts w:ascii="Times New Roman" w:hAnsi="Times New Roman"/>
          <w:b/>
          <w:i/>
          <w:sz w:val="20"/>
          <w:szCs w:val="20"/>
        </w:rPr>
        <w:t xml:space="preserve">Observation 2: </w:t>
      </w:r>
    </w:p>
    <w:p>
      <w:pPr>
        <w:pStyle w:val="96"/>
        <w:numPr>
          <w:ilvl w:val="0"/>
          <w:numId w:val="12"/>
        </w:numPr>
        <w:tabs>
          <w:tab w:val="clear" w:pos="420"/>
        </w:tabs>
        <w:snapToGrid w:val="0"/>
        <w:spacing w:before="180" w:beforeLines="50" w:after="180" w:afterLines="50" w:line="240" w:lineRule="auto"/>
        <w:ind w:left="420" w:leftChars="0" w:right="220" w:rightChars="100"/>
        <w:jc w:val="both"/>
        <w:rPr>
          <w:rFonts w:ascii="Times New Roman" w:hAnsi="Times New Roman"/>
          <w:i/>
          <w:sz w:val="20"/>
          <w:szCs w:val="20"/>
        </w:rPr>
      </w:pPr>
      <w:r>
        <w:rPr>
          <w:rFonts w:hint="eastAsia" w:ascii="Times New Roman" w:hAnsi="Times New Roman"/>
          <w:i/>
          <w:sz w:val="20"/>
          <w:szCs w:val="20"/>
        </w:rPr>
        <w:t>F</w:t>
      </w:r>
      <w:r>
        <w:rPr>
          <w:rFonts w:ascii="Times New Roman" w:hAnsi="Times New Roman"/>
          <w:i/>
          <w:sz w:val="20"/>
          <w:szCs w:val="20"/>
        </w:rPr>
        <w:t xml:space="preserve">rom Fig. 3-3(a), it can be observed that </w:t>
      </w:r>
    </w:p>
    <w:p>
      <w:pPr>
        <w:pStyle w:val="96"/>
        <w:numPr>
          <w:ilvl w:val="0"/>
          <w:numId w:val="12"/>
        </w:numPr>
        <w:tabs>
          <w:tab w:val="clear" w:pos="420"/>
        </w:tabs>
        <w:snapToGrid w:val="0"/>
        <w:spacing w:before="180" w:beforeLines="50" w:after="180" w:afterLines="50" w:line="240" w:lineRule="auto"/>
        <w:ind w:left="220" w:leftChars="100" w:right="220" w:rightChars="100"/>
        <w:jc w:val="both"/>
        <w:rPr>
          <w:rFonts w:ascii="Times New Roman" w:hAnsi="Times New Roman"/>
          <w:i/>
          <w:sz w:val="20"/>
          <w:szCs w:val="20"/>
        </w:rPr>
      </w:pPr>
      <w:r>
        <w:rPr>
          <w:rFonts w:ascii="Times New Roman" w:hAnsi="Times New Roman"/>
          <w:i/>
          <w:sz w:val="20"/>
          <w:szCs w:val="20"/>
        </w:rPr>
        <w:t>If there is only one DFT vector in Wf, Alt 3-0 is identical to Alt 1, and Alt 5 is identical to Alt 2.</w:t>
      </w:r>
    </w:p>
    <w:p>
      <w:pPr>
        <w:pStyle w:val="96"/>
        <w:numPr>
          <w:ilvl w:val="0"/>
          <w:numId w:val="12"/>
        </w:numPr>
        <w:tabs>
          <w:tab w:val="clear" w:pos="420"/>
        </w:tabs>
        <w:snapToGrid w:val="0"/>
        <w:spacing w:before="180" w:beforeLines="50" w:after="180" w:afterLines="50" w:line="240" w:lineRule="auto"/>
        <w:ind w:left="220" w:leftChars="100" w:right="220" w:rightChars="100"/>
        <w:jc w:val="both"/>
        <w:rPr>
          <w:rFonts w:ascii="Times New Roman" w:hAnsi="Times New Roman"/>
          <w:i/>
          <w:sz w:val="20"/>
          <w:szCs w:val="20"/>
        </w:rPr>
      </w:pPr>
      <w:r>
        <w:rPr>
          <w:rFonts w:ascii="Times New Roman" w:hAnsi="Times New Roman"/>
          <w:i/>
          <w:sz w:val="20"/>
          <w:szCs w:val="20"/>
        </w:rPr>
        <w:t>Alt 2 has gain over Alt 1 from the saving of CSI-RS overhead.</w:t>
      </w:r>
    </w:p>
    <w:p>
      <w:pPr>
        <w:pStyle w:val="96"/>
        <w:numPr>
          <w:ilvl w:val="0"/>
          <w:numId w:val="12"/>
        </w:numPr>
        <w:tabs>
          <w:tab w:val="clear" w:pos="420"/>
        </w:tabs>
        <w:snapToGrid w:val="0"/>
        <w:spacing w:before="180" w:beforeLines="50" w:after="180" w:afterLines="50" w:line="240" w:lineRule="auto"/>
        <w:ind w:left="420" w:leftChars="0" w:right="220" w:rightChars="100"/>
        <w:jc w:val="both"/>
        <w:rPr>
          <w:rFonts w:ascii="Times New Roman" w:hAnsi="Times New Roman"/>
          <w:i/>
          <w:sz w:val="20"/>
          <w:szCs w:val="20"/>
        </w:rPr>
      </w:pPr>
      <w:r>
        <w:rPr>
          <w:rFonts w:hint="eastAsia" w:ascii="Times New Roman" w:hAnsi="Times New Roman"/>
          <w:i/>
          <w:sz w:val="20"/>
          <w:szCs w:val="20"/>
        </w:rPr>
        <w:t>F</w:t>
      </w:r>
      <w:r>
        <w:rPr>
          <w:rFonts w:ascii="Times New Roman" w:hAnsi="Times New Roman"/>
          <w:i/>
          <w:sz w:val="20"/>
          <w:szCs w:val="20"/>
        </w:rPr>
        <w:t>rom Fig. 3-3(b), it can be observed that</w:t>
      </w:r>
    </w:p>
    <w:p>
      <w:pPr>
        <w:pStyle w:val="96"/>
        <w:numPr>
          <w:ilvl w:val="0"/>
          <w:numId w:val="12"/>
        </w:numPr>
        <w:tabs>
          <w:tab w:val="clear" w:pos="420"/>
        </w:tabs>
        <w:snapToGrid w:val="0"/>
        <w:spacing w:before="180" w:beforeLines="50" w:after="180" w:afterLines="50" w:line="240" w:lineRule="auto"/>
        <w:ind w:left="220" w:leftChars="100" w:right="220" w:rightChars="100"/>
        <w:jc w:val="both"/>
        <w:rPr>
          <w:rFonts w:ascii="Times New Roman" w:hAnsi="Times New Roman"/>
          <w:i/>
          <w:sz w:val="20"/>
          <w:szCs w:val="20"/>
        </w:rPr>
      </w:pPr>
      <w:r>
        <w:rPr>
          <w:rFonts w:ascii="Times New Roman" w:hAnsi="Times New Roman"/>
          <w:i/>
          <w:sz w:val="20"/>
          <w:szCs w:val="20"/>
        </w:rPr>
        <w:t>Having more than 1 DFT vectors in Wf does not provide gain over Alt 1 or Alt 2. The second strongest DFT vectors in frequency domain is much weaker than the strongest one as shown in Fig. 3-4.</w:t>
      </w:r>
    </w:p>
    <w:p>
      <w:pPr>
        <w:snapToGrid w:val="0"/>
        <w:spacing w:before="180" w:beforeLines="50" w:after="180" w:afterLines="50" w:line="240" w:lineRule="auto"/>
        <w:ind w:right="220" w:rightChars="100"/>
        <w:jc w:val="both"/>
        <w:rPr>
          <w:rFonts w:ascii="Times New Roman" w:hAnsi="Times New Roman"/>
          <w:i/>
          <w:sz w:val="20"/>
          <w:szCs w:val="20"/>
        </w:rPr>
      </w:pPr>
      <w:r>
        <w:rPr>
          <w:rFonts w:hint="eastAsia" w:ascii="Times New Roman" w:hAnsi="Times New Roman"/>
          <w:b/>
          <w:i/>
          <w:sz w:val="20"/>
          <w:szCs w:val="20"/>
        </w:rPr>
        <w:t>P</w:t>
      </w:r>
      <w:r>
        <w:rPr>
          <w:rFonts w:ascii="Times New Roman" w:hAnsi="Times New Roman"/>
          <w:b/>
          <w:i/>
          <w:sz w:val="20"/>
          <w:szCs w:val="20"/>
        </w:rPr>
        <w:t>roposal 4:</w:t>
      </w:r>
      <w:r>
        <w:rPr>
          <w:rFonts w:ascii="Times New Roman" w:hAnsi="Times New Roman"/>
          <w:i/>
          <w:sz w:val="20"/>
          <w:szCs w:val="20"/>
        </w:rPr>
        <w:t xml:space="preserve"> For codebook structure in Rel-17 FDD reciprocity based CSI, support Alt 2.</w:t>
      </w:r>
    </w:p>
    <w:p>
      <w:pPr>
        <w:pStyle w:val="96"/>
        <w:numPr>
          <w:ilvl w:val="0"/>
          <w:numId w:val="12"/>
        </w:numPr>
        <w:snapToGrid w:val="0"/>
        <w:spacing w:before="180" w:beforeLines="50" w:after="180" w:afterLines="50" w:line="240" w:lineRule="auto"/>
        <w:ind w:leftChars="0" w:right="220" w:rightChars="100"/>
        <w:jc w:val="both"/>
        <w:rPr>
          <w:rFonts w:ascii="Times New Roman" w:hAnsi="Times New Roman"/>
          <w:i/>
          <w:sz w:val="20"/>
          <w:szCs w:val="20"/>
        </w:rPr>
      </w:pPr>
      <w:r>
        <w:rPr>
          <w:rFonts w:ascii="Times New Roman" w:hAnsi="Times New Roman"/>
          <w:i/>
          <w:sz w:val="20"/>
          <w:szCs w:val="20"/>
        </w:rPr>
        <w:t>On the mapping between SD-FD pairs and CSI-RS ports, support one of the following.</w:t>
      </w:r>
    </w:p>
    <w:p>
      <w:pPr>
        <w:pStyle w:val="96"/>
        <w:numPr>
          <w:ilvl w:val="0"/>
          <w:numId w:val="12"/>
        </w:numPr>
        <w:snapToGrid w:val="0"/>
        <w:spacing w:before="180" w:beforeLines="50" w:after="180" w:afterLines="50" w:line="240" w:lineRule="auto"/>
        <w:ind w:left="640" w:leftChars="291" w:right="220" w:rightChars="100"/>
        <w:jc w:val="both"/>
        <w:rPr>
          <w:rFonts w:ascii="Times New Roman" w:hAnsi="Times New Roman"/>
          <w:i/>
          <w:sz w:val="20"/>
          <w:szCs w:val="20"/>
        </w:rPr>
      </w:pPr>
      <w:r>
        <w:rPr>
          <w:rFonts w:hint="eastAsia" w:ascii="Times New Roman" w:hAnsi="Times New Roman"/>
          <w:i/>
          <w:sz w:val="20"/>
          <w:szCs w:val="20"/>
        </w:rPr>
        <w:t>O</w:t>
      </w:r>
      <w:r>
        <w:rPr>
          <w:rFonts w:ascii="Times New Roman" w:hAnsi="Times New Roman"/>
          <w:i/>
          <w:sz w:val="20"/>
          <w:szCs w:val="20"/>
        </w:rPr>
        <w:t xml:space="preserve">pt 1: 2 </w:t>
      </w:r>
      <w:r>
        <w:rPr>
          <w:rFonts w:hint="eastAsia" w:ascii="Times New Roman" w:hAnsi="Times New Roman"/>
          <w:i/>
          <w:sz w:val="20"/>
          <w:szCs w:val="20"/>
        </w:rPr>
        <w:t>or</w:t>
      </w:r>
      <w:r>
        <w:rPr>
          <w:rFonts w:ascii="Times New Roman" w:hAnsi="Times New Roman"/>
          <w:i/>
          <w:sz w:val="20"/>
          <w:szCs w:val="20"/>
        </w:rPr>
        <w:t xml:space="preserve"> 4 SD-FD pairs are FDMed mapped to 1 port</w:t>
      </w:r>
    </w:p>
    <w:p>
      <w:pPr>
        <w:pStyle w:val="96"/>
        <w:numPr>
          <w:ilvl w:val="0"/>
          <w:numId w:val="12"/>
        </w:numPr>
        <w:snapToGrid w:val="0"/>
        <w:spacing w:before="180" w:beforeLines="50" w:after="180" w:afterLines="50" w:line="240" w:lineRule="auto"/>
        <w:ind w:left="640" w:leftChars="291" w:right="220" w:rightChars="100"/>
        <w:jc w:val="both"/>
        <w:rPr>
          <w:rFonts w:ascii="Times New Roman" w:hAnsi="Times New Roman"/>
          <w:i/>
          <w:sz w:val="20"/>
          <w:szCs w:val="20"/>
        </w:rPr>
      </w:pPr>
      <w:r>
        <w:rPr>
          <w:rFonts w:hint="eastAsia" w:ascii="Times New Roman" w:hAnsi="Times New Roman"/>
          <w:i/>
          <w:sz w:val="20"/>
          <w:szCs w:val="20"/>
        </w:rPr>
        <w:t>O</w:t>
      </w:r>
      <w:r>
        <w:rPr>
          <w:rFonts w:ascii="Times New Roman" w:hAnsi="Times New Roman"/>
          <w:i/>
          <w:sz w:val="20"/>
          <w:szCs w:val="20"/>
        </w:rPr>
        <w:t>pt 2: Aggregating multiple CSI-RS resources to generate one PMI</w:t>
      </w:r>
    </w:p>
    <w:p>
      <w:pPr>
        <w:pStyle w:val="2"/>
        <w:snapToGrid w:val="0"/>
        <w:spacing w:before="180" w:beforeLines="50" w:after="180" w:afterLines="50"/>
        <w:ind w:left="431" w:hanging="431"/>
        <w:rPr>
          <w:sz w:val="28"/>
          <w:lang w:val="en-US"/>
        </w:rPr>
      </w:pPr>
      <w:r>
        <w:rPr>
          <w:sz w:val="28"/>
          <w:lang w:val="en-US"/>
        </w:rPr>
        <w:t>References</w:t>
      </w:r>
    </w:p>
    <w:bookmarkEnd w:id="6"/>
    <w:bookmarkEnd w:id="7"/>
    <w:p>
      <w:pPr>
        <w:pStyle w:val="88"/>
        <w:numPr>
          <w:ilvl w:val="0"/>
          <w:numId w:val="13"/>
        </w:numPr>
        <w:snapToGrid w:val="0"/>
        <w:rPr>
          <w:sz w:val="20"/>
          <w:szCs w:val="20"/>
          <w:lang w:val="en-GB"/>
        </w:rPr>
      </w:pPr>
      <w:r>
        <w:rPr>
          <w:rFonts w:hint="eastAsia"/>
          <w:sz w:val="20"/>
          <w:szCs w:val="20"/>
        </w:rPr>
        <w:t xml:space="preserve">RP-193133, New WID: Further enhancements on MIMO for NR, Samsung, </w:t>
      </w:r>
    </w:p>
    <w:p>
      <w:pPr>
        <w:pStyle w:val="88"/>
        <w:numPr>
          <w:ilvl w:val="0"/>
          <w:numId w:val="13"/>
        </w:numPr>
        <w:snapToGrid w:val="0"/>
        <w:rPr>
          <w:sz w:val="20"/>
          <w:szCs w:val="20"/>
          <w:lang w:val="en-GB"/>
        </w:rPr>
      </w:pPr>
      <w:r>
        <w:rPr>
          <w:bCs/>
          <w:sz w:val="20"/>
          <w:szCs w:val="20"/>
        </w:rPr>
        <w:t>Offline email discussion on FeMIMO evaluation methodology: Item 4</w:t>
      </w:r>
    </w:p>
    <w:p>
      <w:pPr>
        <w:pStyle w:val="88"/>
        <w:numPr>
          <w:ilvl w:val="0"/>
          <w:numId w:val="13"/>
        </w:numPr>
        <w:snapToGrid w:val="0"/>
        <w:rPr>
          <w:sz w:val="20"/>
          <w:szCs w:val="20"/>
          <w:lang w:val="en-GB"/>
        </w:rPr>
      </w:pPr>
      <w:r>
        <w:rPr>
          <w:rFonts w:hint="eastAsia"/>
          <w:sz w:val="20"/>
          <w:szCs w:val="20"/>
          <w:lang w:val="en-GB"/>
        </w:rPr>
        <w:t>R1-</w:t>
      </w:r>
      <w:r>
        <w:rPr>
          <w:sz w:val="20"/>
          <w:szCs w:val="20"/>
          <w:lang w:val="en-GB"/>
        </w:rPr>
        <w:t xml:space="preserve">1704425, Enhancement to CSI feedback, ZTE, ZTE Microelectronics </w:t>
      </w:r>
    </w:p>
    <w:p>
      <w:pPr>
        <w:pStyle w:val="2"/>
        <w:snapToGrid w:val="0"/>
        <w:spacing w:before="180" w:beforeLines="50" w:after="180" w:afterLines="50"/>
        <w:ind w:left="431" w:hanging="431"/>
        <w:rPr>
          <w:sz w:val="28"/>
          <w:lang w:val="en-US"/>
        </w:rPr>
      </w:pPr>
      <w:r>
        <w:rPr>
          <w:rFonts w:hint="eastAsia"/>
          <w:sz w:val="28"/>
          <w:lang w:val="en-US"/>
        </w:rPr>
        <w:t>Appendix</w:t>
      </w:r>
    </w:p>
    <w:p>
      <w:pPr>
        <w:widowControl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 </w:t>
      </w:r>
      <w:bookmarkStart w:id="8" w:name="_GoBack"/>
      <w:bookmarkEnd w:id="8"/>
    </w:p>
    <w:p>
      <w:pPr>
        <w:widowControl w:val="0"/>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eastAsia="宋体"/>
          <w:sz w:val="20"/>
          <w:szCs w:val="20"/>
        </w:rPr>
        <w:t>Table 6 SLS assumptions for CSI based on FDD reciprocity</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670"/>
        <w:gridCol w:w="1188"/>
        <w:gridCol w:w="6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D8D8D8" w:themeFill="background1" w:themeFillShade="D9"/>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b/>
                <w:bCs/>
                <w:sz w:val="20"/>
                <w:szCs w:val="20"/>
              </w:rPr>
              <w:t>Parameter</w:t>
            </w:r>
          </w:p>
        </w:tc>
        <w:tc>
          <w:tcPr>
            <w:tcW w:w="0" w:type="auto"/>
            <w:shd w:val="clear" w:color="auto" w:fill="D8D8D8" w:themeFill="background1" w:themeFillShade="D9"/>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b/>
                <w:bCs/>
                <w:sz w:val="20"/>
                <w:szCs w:val="20"/>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 xml:space="preserve">Duplex, Waveform </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 xml:space="preserve">FDD, OFDM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 xml:space="preserve">Multiple access </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 xml:space="preserve">OFDMA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Scenario</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 xml:space="preserve">Dense Urban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Frequency Range</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 xml:space="preserve">2GHz with duplexing gap of 200MHz between DL and 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Inter-BS distance</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b/>
                <w:sz w:val="20"/>
                <w:szCs w:val="20"/>
              </w:rPr>
            </w:pPr>
            <w:r>
              <w:rPr>
                <w:rFonts w:ascii="Times New Roman" w:hAnsi="Times New Roman" w:eastAsia="宋体"/>
                <w:sz w:val="20"/>
                <w:szCs w:val="20"/>
              </w:rPr>
              <w:t xml:space="preserve">200m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Channel model</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The reciprocity model of DL/UL channel is based on Section 5.3 of TR 36.897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Antenna setup and port layouts at gNB</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 xml:space="preserve">(8,8,2,1,1,2,8), (dH,dV) = (0.5, 0.8)λ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Antenna setup and port layouts at UE</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4RX: (1,2,2,1,1,1,2), (dH,dV) = (0.5, 0.5)λ</w:t>
            </w:r>
          </w:p>
          <w:p>
            <w:pPr>
              <w:widowControl w:val="0"/>
              <w:snapToGrid w:val="0"/>
              <w:spacing w:after="0" w:line="240" w:lineRule="auto"/>
              <w:rPr>
                <w:rFonts w:ascii="Times New Roman" w:hAnsi="Times New Roman" w:eastAsia="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 xml:space="preserve">BS Tx power </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hint="eastAsia" w:ascii="Times New Roman" w:hAnsi="Times New Roman" w:eastAsia="宋体"/>
                <w:sz w:val="20"/>
                <w:szCs w:val="20"/>
              </w:rPr>
              <w:t>44</w:t>
            </w:r>
            <w:r>
              <w:rPr>
                <w:rFonts w:ascii="Times New Roman" w:hAnsi="Times New Roman" w:eastAsia="宋体"/>
                <w:sz w:val="20"/>
                <w:szCs w:val="20"/>
              </w:rPr>
              <w:t xml:space="preserve"> dBm for </w:t>
            </w:r>
            <w:r>
              <w:rPr>
                <w:rFonts w:hint="eastAsia" w:ascii="Times New Roman" w:hAnsi="Times New Roman" w:eastAsia="宋体"/>
                <w:sz w:val="20"/>
                <w:szCs w:val="20"/>
              </w:rPr>
              <w:t>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 xml:space="preserve">BS antenna height </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 xml:space="preserve">25m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UE antenna height &amp; gain</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 xml:space="preserve">Follow TR36.873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UE receiver noise figure</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9dB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 xml:space="preserve">Modulation </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 xml:space="preserve">Up to 256QAM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 xml:space="preserve">Coding on PDSCH </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LDPC</w:t>
            </w:r>
          </w:p>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 xml:space="preserve">Max code-block size=8448bit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vMerge w:val="restart"/>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Numerology</w:t>
            </w:r>
          </w:p>
        </w:tc>
        <w:tc>
          <w:tcPr>
            <w:tcW w:w="0" w:type="auto"/>
            <w:shd w:val="clear" w:color="auto" w:fill="auto"/>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 xml:space="preserve">Slot/non-slot </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bCs/>
                <w:sz w:val="20"/>
                <w:szCs w:val="20"/>
              </w:rPr>
              <w:t>14 OFDM symbol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vMerge w:val="continue"/>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p>
        </w:tc>
        <w:tc>
          <w:tcPr>
            <w:tcW w:w="0" w:type="auto"/>
            <w:shd w:val="clear" w:color="auto" w:fill="auto"/>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 xml:space="preserve">SCS </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bCs/>
                <w:sz w:val="20"/>
                <w:szCs w:val="20"/>
              </w:rPr>
            </w:pPr>
            <w:r>
              <w:rPr>
                <w:rFonts w:hint="eastAsia" w:ascii="Times New Roman" w:hAnsi="Times New Roman" w:eastAsia="宋体"/>
                <w:bCs/>
                <w:sz w:val="20"/>
                <w:szCs w:val="20"/>
              </w:rPr>
              <w:t xml:space="preserve">15 </w:t>
            </w:r>
            <w:r>
              <w:rPr>
                <w:rFonts w:ascii="Times New Roman" w:hAnsi="Times New Roman" w:eastAsia="宋体"/>
                <w:bCs/>
                <w:sz w:val="20"/>
                <w:szCs w:val="20"/>
              </w:rPr>
              <w:t xml:space="preserve">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 xml:space="preserve">Simulation bandwidth </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hint="eastAsia" w:ascii="Times New Roman" w:hAnsi="Times New Roman" w:eastAsia="宋体"/>
                <w:sz w:val="20"/>
                <w:szCs w:val="20"/>
              </w:rPr>
              <w:t xml:space="preserve">20 MHz (104 RBs) for </w:t>
            </w:r>
            <w:r>
              <w:rPr>
                <w:rFonts w:hint="eastAsia" w:ascii="Times New Roman" w:hAnsi="Times New Roman" w:eastAsia="宋体"/>
                <w:bCs/>
                <w:sz w:val="20"/>
                <w:szCs w:val="20"/>
              </w:rPr>
              <w:t xml:space="preserve">15 </w:t>
            </w:r>
            <w:r>
              <w:rPr>
                <w:rFonts w:ascii="Times New Roman" w:hAnsi="Times New Roman" w:eastAsia="宋体"/>
                <w:bCs/>
                <w:sz w:val="20"/>
                <w:szCs w:val="20"/>
              </w:rPr>
              <w:t>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 xml:space="preserve">Frame structure </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Slot Format 0 (all downlink) for all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bCs/>
                <w:sz w:val="20"/>
                <w:szCs w:val="20"/>
              </w:rPr>
              <w:t>MIMO scheme</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hint="eastAsia" w:ascii="Times New Roman" w:hAnsi="Times New Roman" w:eastAsia="宋体"/>
                <w:sz w:val="20"/>
                <w:szCs w:val="20"/>
              </w:rPr>
              <w:t xml:space="preserve">For 70% RU, </w:t>
            </w:r>
            <w:r>
              <w:rPr>
                <w:rFonts w:ascii="Times New Roman" w:hAnsi="Times New Roman" w:eastAsia="宋体"/>
                <w:sz w:val="20"/>
                <w:szCs w:val="20"/>
              </w:rPr>
              <w:t>SU/MU-MIMO with rank adaptation is assumed</w:t>
            </w:r>
            <w:r>
              <w:rPr>
                <w:rFonts w:hint="eastAsia" w:ascii="Times New Roman" w:hAnsi="Times New Roman" w:eastAsia="宋体"/>
                <w:sz w:val="20"/>
                <w:szCs w:val="20"/>
              </w:rPr>
              <w:t>.</w:t>
            </w:r>
          </w:p>
          <w:p>
            <w:pPr>
              <w:widowControl w:val="0"/>
              <w:snapToGrid w:val="0"/>
              <w:spacing w:after="0" w:line="240" w:lineRule="auto"/>
              <w:rPr>
                <w:rFonts w:ascii="Times New Roman" w:hAnsi="Times New Roman" w:eastAsia="宋体"/>
                <w:sz w:val="20"/>
                <w:szCs w:val="20"/>
              </w:rPr>
            </w:pPr>
            <w:r>
              <w:rPr>
                <w:rFonts w:hint="eastAsia" w:ascii="Times New Roman" w:hAnsi="Times New Roman" w:eastAsia="宋体"/>
                <w:kern w:val="24"/>
                <w:sz w:val="20"/>
                <w:szCs w:val="20"/>
              </w:rPr>
              <w:t xml:space="preserve">For 20% RU, </w:t>
            </w:r>
            <w:r>
              <w:rPr>
                <w:rFonts w:ascii="Times New Roman" w:hAnsi="Times New Roman" w:eastAsia="Malgun Gothic"/>
                <w:kern w:val="24"/>
                <w:sz w:val="20"/>
                <w:szCs w:val="20"/>
                <w:lang w:eastAsia="ko-KR"/>
              </w:rPr>
              <w:t>SU-MIMO with rank adaptation</w:t>
            </w:r>
            <w:r>
              <w:rPr>
                <w:rFonts w:ascii="Times New Roman" w:hAnsi="Times New Roman" w:eastAsia="宋体"/>
                <w:sz w:val="20"/>
                <w:szCs w:val="20"/>
              </w:rPr>
              <w:t xml:space="preserve"> is assumed</w:t>
            </w:r>
            <w:r>
              <w:rPr>
                <w:rFonts w:hint="eastAsia" w:ascii="Times New Roman" w:hAnsi="Times New Roman" w:eastAsia="宋体"/>
                <w:sz w:val="20"/>
                <w:szCs w:val="20"/>
              </w:rPr>
              <w:t>.</w:t>
            </w:r>
            <w:r>
              <w:rPr>
                <w:rFonts w:ascii="Times New Roman" w:hAnsi="Times New Roman" w:eastAsia="宋体"/>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auto"/>
            <w:vAlign w:val="center"/>
          </w:tcPr>
          <w:p>
            <w:pPr>
              <w:widowControl w:val="0"/>
              <w:snapToGrid w:val="0"/>
              <w:spacing w:after="0" w:line="240" w:lineRule="auto"/>
              <w:ind w:left="220" w:leftChars="100"/>
              <w:rPr>
                <w:rFonts w:ascii="Times New Roman" w:hAnsi="Times New Roman" w:eastAsia="宋体"/>
                <w:bCs/>
                <w:sz w:val="20"/>
                <w:szCs w:val="20"/>
              </w:rPr>
            </w:pPr>
            <w:r>
              <w:rPr>
                <w:rFonts w:ascii="Times New Roman" w:hAnsi="Times New Roman" w:eastAsia="宋体"/>
                <w:bCs/>
                <w:sz w:val="20"/>
                <w:szCs w:val="20"/>
              </w:rPr>
              <w:t>MIMO layers</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 xml:space="preserve">The maximum number of MU layers is </w:t>
            </w:r>
            <w:r>
              <w:rPr>
                <w:rFonts w:hint="eastAsia" w:ascii="Times New Roman" w:hAnsi="Times New Roman" w:eastAsia="宋体"/>
                <w:sz w:val="20"/>
                <w:szCs w:val="20"/>
              </w:rPr>
              <w:t>12.</w:t>
            </w:r>
          </w:p>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 xml:space="preserve">The maximum number of </w:t>
            </w:r>
            <w:r>
              <w:rPr>
                <w:rFonts w:hint="eastAsia" w:ascii="Times New Roman" w:hAnsi="Times New Roman" w:eastAsia="宋体"/>
                <w:sz w:val="20"/>
                <w:szCs w:val="20"/>
              </w:rPr>
              <w:t>S</w:t>
            </w:r>
            <w:r>
              <w:rPr>
                <w:rFonts w:ascii="Times New Roman" w:hAnsi="Times New Roman" w:eastAsia="宋体"/>
                <w:sz w:val="20"/>
                <w:szCs w:val="20"/>
              </w:rPr>
              <w:t xml:space="preserve">U layers is </w:t>
            </w:r>
            <w:r>
              <w:rPr>
                <w:rFonts w:hint="eastAsia" w:ascii="Times New Roman" w:hAnsi="Times New Roman" w:eastAsia="宋体"/>
                <w:sz w:val="20"/>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auto"/>
            <w:vAlign w:val="center"/>
          </w:tcPr>
          <w:p>
            <w:pPr>
              <w:widowControl w:val="0"/>
              <w:snapToGrid w:val="0"/>
              <w:spacing w:after="0" w:line="240" w:lineRule="auto"/>
              <w:ind w:left="220" w:leftChars="100"/>
              <w:rPr>
                <w:rFonts w:ascii="Times New Roman" w:hAnsi="Times New Roman" w:eastAsia="宋体"/>
                <w:bCs/>
                <w:sz w:val="20"/>
                <w:szCs w:val="20"/>
              </w:rPr>
            </w:pPr>
            <w:r>
              <w:rPr>
                <w:rFonts w:ascii="Times New Roman" w:hAnsi="Times New Roman" w:eastAsia="宋体"/>
                <w:bCs/>
                <w:sz w:val="20"/>
                <w:szCs w:val="20"/>
              </w:rPr>
              <w:t xml:space="preserve">CSI feedback </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 xml:space="preserve">CSI feedback periodicity: 5 ms, </w:t>
            </w:r>
          </w:p>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Scheduling delay: 4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auto"/>
          </w:tcPr>
          <w:p>
            <w:pPr>
              <w:widowControl w:val="0"/>
              <w:snapToGrid w:val="0"/>
              <w:spacing w:after="0" w:line="240" w:lineRule="auto"/>
              <w:ind w:left="220" w:leftChars="100"/>
              <w:rPr>
                <w:rFonts w:ascii="Times New Roman" w:hAnsi="Times New Roman" w:eastAsia="宋体"/>
                <w:bCs/>
                <w:sz w:val="20"/>
                <w:szCs w:val="20"/>
              </w:rPr>
            </w:pPr>
            <w:r>
              <w:rPr>
                <w:rFonts w:ascii="Times New Roman" w:hAnsi="Times New Roman" w:eastAsia="宋体"/>
                <w:bCs/>
                <w:sz w:val="20"/>
                <w:szCs w:val="20"/>
              </w:rPr>
              <w:t xml:space="preserve">Overhead </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hint="eastAsia" w:ascii="Times New Roman" w:hAnsi="Times New Roman" w:eastAsia="宋体"/>
                <w:sz w:val="20"/>
                <w:szCs w:val="20"/>
              </w:rPr>
              <w:t>2 OFDM symbols for PDCCH，type 2 for DMRS(24 REs/PRB/slot)</w:t>
            </w:r>
          </w:p>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CSI-RS overhead is taken into account as specified in the main content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auto"/>
          </w:tcPr>
          <w:p>
            <w:pPr>
              <w:widowControl w:val="0"/>
              <w:snapToGrid w:val="0"/>
              <w:spacing w:after="0" w:line="240" w:lineRule="auto"/>
              <w:ind w:left="220" w:leftChars="100"/>
              <w:rPr>
                <w:rFonts w:ascii="Times New Roman" w:hAnsi="Times New Roman" w:eastAsia="宋体"/>
                <w:bCs/>
                <w:sz w:val="20"/>
                <w:szCs w:val="20"/>
              </w:rPr>
            </w:pPr>
            <w:r>
              <w:rPr>
                <w:rFonts w:ascii="Times New Roman" w:hAnsi="Times New Roman" w:eastAsia="宋体"/>
                <w:bCs/>
                <w:sz w:val="20"/>
                <w:szCs w:val="20"/>
              </w:rPr>
              <w:t>Traffic model</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hint="eastAsia" w:ascii="Times New Roman" w:hAnsi="Times New Roman" w:eastAsia="宋体"/>
                <w:sz w:val="20"/>
                <w:szCs w:val="20"/>
              </w:rPr>
              <w:t xml:space="preserve">FTP 3 </w:t>
            </w:r>
            <w:r>
              <w:rPr>
                <w:rFonts w:ascii="Times New Roman" w:hAnsi="Times New Roman" w:eastAsia="Malgun Gothic"/>
                <w:kern w:val="24"/>
                <w:sz w:val="20"/>
                <w:szCs w:val="20"/>
                <w:lang w:eastAsia="ko-KR"/>
              </w:rPr>
              <w:t>with packet size 0.5 Mbytes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auto"/>
          </w:tcPr>
          <w:p>
            <w:pPr>
              <w:widowControl w:val="0"/>
              <w:snapToGrid w:val="0"/>
              <w:spacing w:after="0" w:line="240" w:lineRule="auto"/>
              <w:ind w:left="220" w:leftChars="100"/>
              <w:rPr>
                <w:rFonts w:ascii="Times New Roman" w:hAnsi="Times New Roman" w:eastAsia="宋体"/>
                <w:bCs/>
                <w:sz w:val="20"/>
                <w:szCs w:val="20"/>
              </w:rPr>
            </w:pPr>
            <w:r>
              <w:rPr>
                <w:rFonts w:ascii="Times New Roman" w:hAnsi="Times New Roman" w:eastAsia="宋体"/>
                <w:bCs/>
                <w:sz w:val="20"/>
                <w:szCs w:val="20"/>
              </w:rPr>
              <w:t>UE distribution</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 xml:space="preserve">80% indoor (3km/h), 20% outdoor (30km/h)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auto"/>
          </w:tcPr>
          <w:p>
            <w:pPr>
              <w:widowControl w:val="0"/>
              <w:snapToGrid w:val="0"/>
              <w:spacing w:after="0" w:line="240" w:lineRule="auto"/>
              <w:ind w:left="220" w:leftChars="100"/>
              <w:rPr>
                <w:rFonts w:ascii="Times New Roman" w:hAnsi="Times New Roman" w:eastAsia="宋体"/>
                <w:bCs/>
                <w:sz w:val="20"/>
                <w:szCs w:val="20"/>
              </w:rPr>
            </w:pPr>
            <w:r>
              <w:rPr>
                <w:rFonts w:ascii="Times New Roman" w:hAnsi="Times New Roman" w:eastAsia="宋体"/>
                <w:bCs/>
                <w:sz w:val="20"/>
                <w:szCs w:val="20"/>
              </w:rPr>
              <w:t>UE receiver</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MMSE-IRC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auto"/>
          </w:tcPr>
          <w:p>
            <w:pPr>
              <w:widowControl w:val="0"/>
              <w:snapToGrid w:val="0"/>
              <w:spacing w:after="0" w:line="240" w:lineRule="auto"/>
              <w:ind w:left="220" w:leftChars="100"/>
              <w:rPr>
                <w:rFonts w:ascii="Times New Roman" w:hAnsi="Times New Roman" w:eastAsia="宋体"/>
                <w:bCs/>
                <w:sz w:val="20"/>
                <w:szCs w:val="20"/>
              </w:rPr>
            </w:pPr>
            <w:r>
              <w:rPr>
                <w:rFonts w:ascii="Times New Roman" w:hAnsi="Times New Roman" w:eastAsia="宋体"/>
                <w:bCs/>
                <w:sz w:val="20"/>
                <w:szCs w:val="20"/>
              </w:rPr>
              <w:t>Feedback assumption</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Realistic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auto"/>
          </w:tcPr>
          <w:p>
            <w:pPr>
              <w:widowControl w:val="0"/>
              <w:snapToGrid w:val="0"/>
              <w:spacing w:after="0" w:line="240" w:lineRule="auto"/>
              <w:ind w:left="220" w:leftChars="100"/>
              <w:rPr>
                <w:rFonts w:ascii="Times New Roman" w:hAnsi="Times New Roman" w:eastAsia="宋体"/>
                <w:bCs/>
                <w:sz w:val="20"/>
                <w:szCs w:val="20"/>
              </w:rPr>
            </w:pPr>
            <w:r>
              <w:rPr>
                <w:rFonts w:ascii="Times New Roman" w:hAnsi="Times New Roman" w:eastAsia="宋体"/>
                <w:bCs/>
                <w:sz w:val="20"/>
                <w:szCs w:val="20"/>
              </w:rPr>
              <w:t>Channel estimation</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Realistic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auto"/>
          </w:tcPr>
          <w:p>
            <w:pPr>
              <w:widowControl w:val="0"/>
              <w:snapToGrid w:val="0"/>
              <w:spacing w:after="0" w:line="240" w:lineRule="auto"/>
              <w:ind w:left="220" w:leftChars="100"/>
              <w:rPr>
                <w:rFonts w:ascii="Times New Roman" w:hAnsi="Times New Roman" w:eastAsia="宋体"/>
                <w:bCs/>
                <w:sz w:val="20"/>
                <w:szCs w:val="20"/>
              </w:rPr>
            </w:pPr>
            <w:r>
              <w:rPr>
                <w:rFonts w:ascii="Times New Roman" w:hAnsi="Times New Roman" w:eastAsia="宋体"/>
                <w:bCs/>
                <w:sz w:val="20"/>
                <w:szCs w:val="20"/>
              </w:rPr>
              <w:t>Evaluation Metric</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sz w:val="20"/>
                <w:szCs w:val="20"/>
              </w:rPr>
            </w:pPr>
            <w:r>
              <w:rPr>
                <w:rFonts w:ascii="Times New Roman" w:hAnsi="Times New Roman" w:eastAsia="宋体"/>
                <w:sz w:val="20"/>
                <w:szCs w:val="20"/>
              </w:rPr>
              <w:t xml:space="preserve">Throughput and CSI feedback overhead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auto"/>
          </w:tcPr>
          <w:p>
            <w:pPr>
              <w:widowControl w:val="0"/>
              <w:snapToGrid w:val="0"/>
              <w:spacing w:after="0" w:line="240" w:lineRule="auto"/>
              <w:ind w:left="220" w:leftChars="100"/>
              <w:rPr>
                <w:rFonts w:ascii="Times New Roman" w:hAnsi="Times New Roman" w:eastAsia="宋体"/>
                <w:bCs/>
                <w:sz w:val="20"/>
                <w:szCs w:val="20"/>
              </w:rPr>
            </w:pPr>
            <w:r>
              <w:rPr>
                <w:rFonts w:ascii="Times New Roman" w:hAnsi="Times New Roman" w:eastAsia="宋体"/>
                <w:bCs/>
                <w:sz w:val="20"/>
                <w:szCs w:val="20"/>
              </w:rPr>
              <w:t>SRS modeling for UL channel estimation</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bCs/>
                <w:iCs/>
                <w:sz w:val="20"/>
                <w:szCs w:val="20"/>
              </w:rPr>
            </w:pPr>
            <w:r>
              <w:rPr>
                <w:rFonts w:ascii="Times New Roman" w:hAnsi="Times New Roman" w:eastAsia="宋体"/>
                <w:bCs/>
                <w:iCs/>
                <w:sz w:val="20"/>
                <w:szCs w:val="20"/>
              </w:rPr>
              <w:t xml:space="preserve">5ms SRS periodicity </w:t>
            </w:r>
          </w:p>
          <w:p>
            <w:pPr>
              <w:widowControl w:val="0"/>
              <w:snapToGrid w:val="0"/>
              <w:spacing w:after="0" w:line="240" w:lineRule="auto"/>
              <w:rPr>
                <w:rFonts w:ascii="Times New Roman" w:hAnsi="Times New Roman" w:eastAsia="宋体"/>
                <w:bCs/>
                <w:iCs/>
                <w:sz w:val="20"/>
                <w:szCs w:val="20"/>
              </w:rPr>
            </w:pPr>
            <w:r>
              <w:rPr>
                <w:rFonts w:ascii="Times New Roman" w:hAnsi="Times New Roman" w:eastAsia="宋体"/>
                <w:bCs/>
                <w:iCs/>
                <w:sz w:val="20"/>
                <w:szCs w:val="20"/>
              </w:rPr>
              <w:t>SRS error model in Table A.1-2 in 36.897 with Δ=9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0" w:type="auto"/>
            <w:gridSpan w:val="2"/>
            <w:shd w:val="clear" w:color="auto" w:fill="auto"/>
          </w:tcPr>
          <w:p>
            <w:pPr>
              <w:widowControl w:val="0"/>
              <w:snapToGrid w:val="0"/>
              <w:spacing w:after="0" w:line="240" w:lineRule="auto"/>
              <w:ind w:left="220" w:leftChars="100"/>
              <w:rPr>
                <w:rFonts w:ascii="Times New Roman" w:hAnsi="Times New Roman" w:eastAsia="宋体"/>
                <w:bCs/>
                <w:sz w:val="20"/>
                <w:szCs w:val="20"/>
              </w:rPr>
            </w:pPr>
            <w:r>
              <w:rPr>
                <w:rFonts w:ascii="Times New Roman" w:hAnsi="Times New Roman" w:eastAsia="宋体"/>
                <w:bCs/>
                <w:sz w:val="20"/>
                <w:szCs w:val="20"/>
              </w:rPr>
              <w:t>FDD DL/UL calibration error model at gNB</w:t>
            </w:r>
          </w:p>
        </w:tc>
        <w:tc>
          <w:tcPr>
            <w:tcW w:w="0" w:type="auto"/>
            <w:shd w:val="clear" w:color="auto" w:fill="auto"/>
            <w:tcMar>
              <w:top w:w="72" w:type="dxa"/>
              <w:left w:w="144" w:type="dxa"/>
              <w:bottom w:w="72" w:type="dxa"/>
              <w:right w:w="144" w:type="dxa"/>
            </w:tcMar>
          </w:tcPr>
          <w:p>
            <w:pPr>
              <w:widowControl w:val="0"/>
              <w:snapToGrid w:val="0"/>
              <w:spacing w:after="0" w:line="240" w:lineRule="auto"/>
              <w:rPr>
                <w:rFonts w:ascii="Times New Roman" w:hAnsi="Times New Roman" w:eastAsia="宋体"/>
                <w:bCs/>
                <w:iCs/>
                <w:sz w:val="20"/>
                <w:szCs w:val="20"/>
              </w:rPr>
            </w:pPr>
            <w:r>
              <w:rPr>
                <w:rFonts w:ascii="Times New Roman" w:hAnsi="Times New Roman" w:eastAsia="宋体"/>
                <w:bCs/>
                <w:iCs/>
                <w:sz w:val="20"/>
                <w:szCs w:val="20"/>
              </w:rPr>
              <w:t xml:space="preserve">With amplitude error (expressed in decibel of </w:t>
            </w:r>
            <w:r>
              <w:rPr>
                <w:rFonts w:hint="eastAsia" w:ascii="Cambria Math" w:hAnsi="Cambria Math" w:eastAsia="宋体"/>
                <w:bCs/>
                <w:iCs/>
                <w:sz w:val="20"/>
                <w:szCs w:val="20"/>
              </w:rPr>
              <w:t>x=20log</w:t>
            </w:r>
            <w:r>
              <w:rPr>
                <w:rFonts w:hint="eastAsia" w:ascii="Cambria Math" w:hAnsi="Cambria Math" w:eastAsia="宋体"/>
                <w:bCs/>
                <w:iCs/>
                <w:sz w:val="20"/>
                <w:szCs w:val="20"/>
                <w:vertAlign w:val="subscript"/>
              </w:rPr>
              <w:t>10</w:t>
            </w:r>
            <w:r>
              <w:rPr>
                <w:rFonts w:hint="eastAsia" w:ascii="Cambria Math" w:hAnsi="Cambria Math" w:eastAsia="宋体"/>
                <w:bCs/>
                <w:iCs/>
                <w:sz w:val="20"/>
                <w:szCs w:val="20"/>
              </w:rPr>
              <w:t>a</w:t>
            </w:r>
            <w:r>
              <w:rPr>
                <w:rFonts w:ascii="Times New Roman" w:hAnsi="Times New Roman" w:eastAsia="宋体"/>
                <w:bCs/>
                <w:iCs/>
                <w:sz w:val="20"/>
                <w:szCs w:val="20"/>
              </w:rPr>
              <w:t>) and phase error are normal distribution with 0.7dB and 5 degrees standard deviation, respectively</w:t>
            </w:r>
            <w:r>
              <w:rPr>
                <w:rFonts w:hint="eastAsia" w:ascii="Times New Roman" w:hAnsi="Times New Roman" w:eastAsia="宋体"/>
                <w:bCs/>
                <w:iCs/>
                <w:sz w:val="20"/>
                <w:szCs w:val="20"/>
              </w:rPr>
              <w:t>.</w:t>
            </w:r>
          </w:p>
        </w:tc>
      </w:tr>
    </w:tbl>
    <w:p>
      <w:pPr>
        <w:widowControl w:val="0"/>
        <w:snapToGrid w:val="0"/>
        <w:spacing w:before="180" w:beforeLines="50" w:after="180" w:afterLines="50" w:line="240" w:lineRule="auto"/>
        <w:jc w:val="center"/>
        <w:rPr>
          <w:rFonts w:ascii="Times New Roman" w:hAnsi="Times New Roman" w:eastAsia="宋体"/>
          <w:sz w:val="20"/>
          <w:szCs w:val="20"/>
        </w:rPr>
      </w:pPr>
    </w:p>
    <w:p>
      <w:pPr>
        <w:pStyle w:val="88"/>
        <w:snapToGrid w:val="0"/>
        <w:rPr>
          <w:sz w:val="20"/>
          <w:szCs w:val="20"/>
          <w:lang w:val="en-GB"/>
        </w:rPr>
      </w:pP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Gulim">
    <w:altName w:val="Malgun Gothic"/>
    <w:panose1 w:val="020B0600000101010101"/>
    <w:charset w:val="81"/>
    <w:family w:val="roman"/>
    <w:pitch w:val="default"/>
    <w:sig w:usb0="00000000" w:usb1="00000000" w:usb2="00000010" w:usb3="00000000" w:csb0="00080000" w:csb1="00000000"/>
  </w:font>
  <w:font w:name="Batang">
    <w:altName w:val="Malgun Gothic"/>
    <w:panose1 w:val="02030600000101010101"/>
    <w:charset w:val="81"/>
    <w:family w:val="auto"/>
    <w:pitch w:val="default"/>
    <w:sig w:usb0="00000000" w:usb1="00000000" w:usb2="00000010" w:usb3="00000000" w:csb0="0008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2"/>
          <w:jc w:val="center"/>
        </w:pPr>
        <w:r>
          <w:fldChar w:fldCharType="begin"/>
        </w:r>
        <w:r>
          <w:instrText xml:space="preserve"> PAGE   \* MERGEFORMAT </w:instrText>
        </w:r>
        <w:r>
          <w:fldChar w:fldCharType="separate"/>
        </w:r>
        <w:r>
          <w:rPr>
            <w:lang w:val="zh-CN"/>
          </w:rPr>
          <w:t>16</w:t>
        </w:r>
        <w:r>
          <w:rPr>
            <w:lang w:val="zh-CN"/>
          </w:rPr>
          <w:fldChar w:fldCharType="end"/>
        </w:r>
      </w:p>
    </w:sdtContent>
  </w:sdt>
  <w:p>
    <w:pPr>
      <w:pStyle w:val="2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A0E608F"/>
    <w:multiLevelType w:val="singleLevel"/>
    <w:tmpl w:val="AA0E608F"/>
    <w:lvl w:ilvl="0" w:tentative="0">
      <w:start w:val="1"/>
      <w:numFmt w:val="bullet"/>
      <w:lvlText w:val=""/>
      <w:lvlJc w:val="left"/>
      <w:pPr>
        <w:ind w:left="840" w:hanging="420"/>
      </w:pPr>
      <w:rPr>
        <w:rFonts w:hint="default" w:ascii="Wingdings" w:hAnsi="Wingdings"/>
        <w:sz w:val="16"/>
      </w:rPr>
    </w:lvl>
  </w:abstractNum>
  <w:abstractNum w:abstractNumId="1">
    <w:nsid w:val="C2F93842"/>
    <w:multiLevelType w:val="singleLevel"/>
    <w:tmpl w:val="C2F93842"/>
    <w:lvl w:ilvl="0" w:tentative="0">
      <w:start w:val="1"/>
      <w:numFmt w:val="bullet"/>
      <w:lvlText w:val="-"/>
      <w:lvlJc w:val="left"/>
      <w:pPr>
        <w:tabs>
          <w:tab w:val="left" w:pos="420"/>
        </w:tabs>
        <w:ind w:left="840" w:hanging="420"/>
      </w:pPr>
      <w:rPr>
        <w:rFonts w:hint="default" w:ascii="Arial" w:hAnsi="Arial" w:cs="Arial"/>
      </w:rPr>
    </w:lvl>
  </w:abstractNum>
  <w:abstractNum w:abstractNumId="2">
    <w:nsid w:val="DD93495D"/>
    <w:multiLevelType w:val="singleLevel"/>
    <w:tmpl w:val="DD93495D"/>
    <w:lvl w:ilvl="0" w:tentative="0">
      <w:start w:val="1"/>
      <w:numFmt w:val="decimal"/>
      <w:suff w:val="space"/>
      <w:lvlText w:val="[%1]"/>
      <w:lvlJc w:val="left"/>
    </w:lvl>
  </w:abstractNum>
  <w:abstractNum w:abstractNumId="3">
    <w:nsid w:val="13E860A6"/>
    <w:multiLevelType w:val="multilevel"/>
    <w:tmpl w:val="13E860A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81BED54"/>
    <w:multiLevelType w:val="singleLevel"/>
    <w:tmpl w:val="181BED54"/>
    <w:lvl w:ilvl="0" w:tentative="0">
      <w:start w:val="1"/>
      <w:numFmt w:val="bullet"/>
      <w:lvlText w:val=""/>
      <w:lvlJc w:val="left"/>
      <w:pPr>
        <w:ind w:left="420" w:hanging="420"/>
      </w:pPr>
      <w:rPr>
        <w:rFonts w:hint="default" w:ascii="Wingdings" w:hAnsi="Wingdings"/>
      </w:rPr>
    </w:lvl>
  </w:abstractNum>
  <w:abstractNum w:abstractNumId="5">
    <w:nsid w:val="29D86EAC"/>
    <w:multiLevelType w:val="multilevel"/>
    <w:tmpl w:val="29D86EA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A481D92"/>
    <w:multiLevelType w:val="multilevel"/>
    <w:tmpl w:val="3A481D92"/>
    <w:lvl w:ilvl="0" w:tentative="0">
      <w:start w:val="4"/>
      <w:numFmt w:val="bullet"/>
      <w:lvlText w:val="-"/>
      <w:lvlJc w:val="left"/>
      <w:pPr>
        <w:ind w:left="360" w:hanging="360"/>
      </w:pPr>
      <w:rPr>
        <w:rFonts w:hint="default" w:ascii="Times New Roman" w:hAnsi="Times New Roman" w:eastAsia="微软雅黑" w:cs="Times New Roman"/>
      </w:rPr>
    </w:lvl>
    <w:lvl w:ilvl="1" w:tentative="0">
      <w:start w:val="2"/>
      <w:numFmt w:val="bullet"/>
      <w:lvlText w:val="-"/>
      <w:lvlJc w:val="left"/>
      <w:pPr>
        <w:ind w:left="840" w:hanging="420"/>
      </w:pPr>
      <w:rPr>
        <w:rFonts w:hint="default" w:ascii="Times New Roman" w:hAnsi="Times New Roman" w:eastAsia="微软雅黑"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402E6D34"/>
    <w:multiLevelType w:val="multilevel"/>
    <w:tmpl w:val="402E6D3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22B3F28"/>
    <w:multiLevelType w:val="multilevel"/>
    <w:tmpl w:val="422B3F28"/>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9">
    <w:nsid w:val="43A41E57"/>
    <w:multiLevelType w:val="multilevel"/>
    <w:tmpl w:val="43A41E5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BA076D4"/>
    <w:multiLevelType w:val="multilevel"/>
    <w:tmpl w:val="5BA076D4"/>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1">
    <w:nsid w:val="6AFE6F1D"/>
    <w:multiLevelType w:val="multilevel"/>
    <w:tmpl w:val="6AFE6F1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ED17D60"/>
    <w:multiLevelType w:val="multilevel"/>
    <w:tmpl w:val="7ED17D6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0"/>
  </w:num>
  <w:num w:numId="2">
    <w:abstractNumId w:val="8"/>
  </w:num>
  <w:num w:numId="3">
    <w:abstractNumId w:val="9"/>
  </w:num>
  <w:num w:numId="4">
    <w:abstractNumId w:val="5"/>
  </w:num>
  <w:num w:numId="5">
    <w:abstractNumId w:val="3"/>
  </w:num>
  <w:num w:numId="6">
    <w:abstractNumId w:val="11"/>
  </w:num>
  <w:num w:numId="7">
    <w:abstractNumId w:val="12"/>
  </w:num>
  <w:num w:numId="8">
    <w:abstractNumId w:val="4"/>
  </w:num>
  <w:num w:numId="9">
    <w:abstractNumId w:val="0"/>
  </w:num>
  <w:num w:numId="10">
    <w:abstractNumId w:val="7"/>
  </w:num>
  <w:num w:numId="11">
    <w:abstractNumId w:val="6"/>
  </w:num>
  <w:num w:numId="12">
    <w:abstractNumId w:val="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720"/>
  <w:hyphenationZone w:val="425"/>
  <w:drawingGridHorizontalSpacing w:val="110"/>
  <w:noPunctuationKerning w:val="1"/>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4F3"/>
    <w:rsid w:val="0001678E"/>
    <w:rsid w:val="00017D50"/>
    <w:rsid w:val="00017DFA"/>
    <w:rsid w:val="00017FA4"/>
    <w:rsid w:val="000200D0"/>
    <w:rsid w:val="000200E2"/>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173"/>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249"/>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6B5"/>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3F60"/>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92A"/>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0B5"/>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55C"/>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13D"/>
    <w:rsid w:val="000C5343"/>
    <w:rsid w:val="000C53A1"/>
    <w:rsid w:val="000C556D"/>
    <w:rsid w:val="000C5AFE"/>
    <w:rsid w:val="000C5B0A"/>
    <w:rsid w:val="000C5B6B"/>
    <w:rsid w:val="000C5BD2"/>
    <w:rsid w:val="000C6415"/>
    <w:rsid w:val="000C64C0"/>
    <w:rsid w:val="000C6A81"/>
    <w:rsid w:val="000C6BDA"/>
    <w:rsid w:val="000C6E60"/>
    <w:rsid w:val="000C6F96"/>
    <w:rsid w:val="000C78F5"/>
    <w:rsid w:val="000C7A0C"/>
    <w:rsid w:val="000C7A3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31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1F41"/>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553"/>
    <w:rsid w:val="0010068C"/>
    <w:rsid w:val="001006E3"/>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3833"/>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631"/>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A94"/>
    <w:rsid w:val="00124C08"/>
    <w:rsid w:val="00124CA0"/>
    <w:rsid w:val="00124F38"/>
    <w:rsid w:val="001251B1"/>
    <w:rsid w:val="001251BD"/>
    <w:rsid w:val="00125201"/>
    <w:rsid w:val="00125463"/>
    <w:rsid w:val="00125515"/>
    <w:rsid w:val="001255A7"/>
    <w:rsid w:val="001255B2"/>
    <w:rsid w:val="0012582B"/>
    <w:rsid w:val="00125DC2"/>
    <w:rsid w:val="00125E2A"/>
    <w:rsid w:val="0012647A"/>
    <w:rsid w:val="001266BA"/>
    <w:rsid w:val="00126C68"/>
    <w:rsid w:val="00126C97"/>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4E"/>
    <w:rsid w:val="00132451"/>
    <w:rsid w:val="0013256B"/>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86A"/>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37"/>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BC1"/>
    <w:rsid w:val="00177D21"/>
    <w:rsid w:val="00177F20"/>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DC8"/>
    <w:rsid w:val="00181EA9"/>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234"/>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1B"/>
    <w:rsid w:val="001A5C51"/>
    <w:rsid w:val="001A6053"/>
    <w:rsid w:val="001A60E3"/>
    <w:rsid w:val="001A6509"/>
    <w:rsid w:val="001A66A8"/>
    <w:rsid w:val="001A69B1"/>
    <w:rsid w:val="001A6CF0"/>
    <w:rsid w:val="001A6CF8"/>
    <w:rsid w:val="001A6E52"/>
    <w:rsid w:val="001A6E93"/>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C"/>
    <w:rsid w:val="001C717F"/>
    <w:rsid w:val="001C73AD"/>
    <w:rsid w:val="001C73D3"/>
    <w:rsid w:val="001C7BEA"/>
    <w:rsid w:val="001C7F50"/>
    <w:rsid w:val="001C7F58"/>
    <w:rsid w:val="001D05B0"/>
    <w:rsid w:val="001D0969"/>
    <w:rsid w:val="001D0AFA"/>
    <w:rsid w:val="001D0D46"/>
    <w:rsid w:val="001D0F06"/>
    <w:rsid w:val="001D10DB"/>
    <w:rsid w:val="001D1182"/>
    <w:rsid w:val="001D11CA"/>
    <w:rsid w:val="001D13F2"/>
    <w:rsid w:val="001D157D"/>
    <w:rsid w:val="001D16D0"/>
    <w:rsid w:val="001D1759"/>
    <w:rsid w:val="001D19A5"/>
    <w:rsid w:val="001D1A02"/>
    <w:rsid w:val="001D1EB8"/>
    <w:rsid w:val="001D2985"/>
    <w:rsid w:val="001D2AC6"/>
    <w:rsid w:val="001D2F6B"/>
    <w:rsid w:val="001D3203"/>
    <w:rsid w:val="001D34F1"/>
    <w:rsid w:val="001D36D6"/>
    <w:rsid w:val="001D3B85"/>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6FD2"/>
    <w:rsid w:val="001D71C4"/>
    <w:rsid w:val="001D7402"/>
    <w:rsid w:val="001D7696"/>
    <w:rsid w:val="001D7859"/>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A77"/>
    <w:rsid w:val="001E213C"/>
    <w:rsid w:val="001E2622"/>
    <w:rsid w:val="001E267E"/>
    <w:rsid w:val="001E26C4"/>
    <w:rsid w:val="001E2793"/>
    <w:rsid w:val="001E2808"/>
    <w:rsid w:val="001E2DA3"/>
    <w:rsid w:val="001E2ED4"/>
    <w:rsid w:val="001E334A"/>
    <w:rsid w:val="001E364E"/>
    <w:rsid w:val="001E3729"/>
    <w:rsid w:val="001E3BCD"/>
    <w:rsid w:val="001E3C4C"/>
    <w:rsid w:val="001E4243"/>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1CE8"/>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49B"/>
    <w:rsid w:val="00205BF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CF1"/>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6A5"/>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1B7"/>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37F7E"/>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B31"/>
    <w:rsid w:val="00266C7B"/>
    <w:rsid w:val="00266E8E"/>
    <w:rsid w:val="00267182"/>
    <w:rsid w:val="002672C3"/>
    <w:rsid w:val="0026746C"/>
    <w:rsid w:val="002674B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CC7"/>
    <w:rsid w:val="00274247"/>
    <w:rsid w:val="00274417"/>
    <w:rsid w:val="0027451C"/>
    <w:rsid w:val="002746F6"/>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4C4"/>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6D0"/>
    <w:rsid w:val="00290A5C"/>
    <w:rsid w:val="00290B90"/>
    <w:rsid w:val="00290D5E"/>
    <w:rsid w:val="00290F39"/>
    <w:rsid w:val="0029112B"/>
    <w:rsid w:val="002912DA"/>
    <w:rsid w:val="002913B1"/>
    <w:rsid w:val="002916DC"/>
    <w:rsid w:val="00291848"/>
    <w:rsid w:val="00292016"/>
    <w:rsid w:val="00292038"/>
    <w:rsid w:val="00292685"/>
    <w:rsid w:val="002926A8"/>
    <w:rsid w:val="00292841"/>
    <w:rsid w:val="00292BEE"/>
    <w:rsid w:val="00292CA0"/>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3ED"/>
    <w:rsid w:val="002A7B13"/>
    <w:rsid w:val="002A7C12"/>
    <w:rsid w:val="002A7D65"/>
    <w:rsid w:val="002A7E40"/>
    <w:rsid w:val="002A7EEE"/>
    <w:rsid w:val="002B05C8"/>
    <w:rsid w:val="002B0A36"/>
    <w:rsid w:val="002B0A94"/>
    <w:rsid w:val="002B0BF5"/>
    <w:rsid w:val="002B0D71"/>
    <w:rsid w:val="002B0E02"/>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7D0"/>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FF"/>
    <w:rsid w:val="002D4B7C"/>
    <w:rsid w:val="002D51E1"/>
    <w:rsid w:val="002D5B14"/>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0FBA"/>
    <w:rsid w:val="00301010"/>
    <w:rsid w:val="0030132D"/>
    <w:rsid w:val="0030146D"/>
    <w:rsid w:val="0030158D"/>
    <w:rsid w:val="00301948"/>
    <w:rsid w:val="00301A88"/>
    <w:rsid w:val="00301CEA"/>
    <w:rsid w:val="00301E71"/>
    <w:rsid w:val="00302317"/>
    <w:rsid w:val="0030239A"/>
    <w:rsid w:val="00302465"/>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B43"/>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6FCC"/>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CAC"/>
    <w:rsid w:val="00330D94"/>
    <w:rsid w:val="00330EC6"/>
    <w:rsid w:val="00330F01"/>
    <w:rsid w:val="003311B5"/>
    <w:rsid w:val="00331404"/>
    <w:rsid w:val="00331502"/>
    <w:rsid w:val="00331749"/>
    <w:rsid w:val="003318D6"/>
    <w:rsid w:val="00331E0D"/>
    <w:rsid w:val="0033205A"/>
    <w:rsid w:val="003322B7"/>
    <w:rsid w:val="0033230D"/>
    <w:rsid w:val="00332381"/>
    <w:rsid w:val="003324BC"/>
    <w:rsid w:val="0033265C"/>
    <w:rsid w:val="00332D92"/>
    <w:rsid w:val="00332E64"/>
    <w:rsid w:val="00332E8D"/>
    <w:rsid w:val="00332F2B"/>
    <w:rsid w:val="00332F58"/>
    <w:rsid w:val="00333145"/>
    <w:rsid w:val="00333222"/>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6C2"/>
    <w:rsid w:val="0033688B"/>
    <w:rsid w:val="00336B46"/>
    <w:rsid w:val="00336B7B"/>
    <w:rsid w:val="00336C35"/>
    <w:rsid w:val="00336DFE"/>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AC7"/>
    <w:rsid w:val="00343C41"/>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5A"/>
    <w:rsid w:val="00345965"/>
    <w:rsid w:val="00345EC3"/>
    <w:rsid w:val="003461F2"/>
    <w:rsid w:val="0034627D"/>
    <w:rsid w:val="003462D4"/>
    <w:rsid w:val="00346384"/>
    <w:rsid w:val="00346407"/>
    <w:rsid w:val="00346D5D"/>
    <w:rsid w:val="00346EA3"/>
    <w:rsid w:val="00346F7D"/>
    <w:rsid w:val="0034709B"/>
    <w:rsid w:val="0034724E"/>
    <w:rsid w:val="00347259"/>
    <w:rsid w:val="0034727C"/>
    <w:rsid w:val="003476BF"/>
    <w:rsid w:val="00347951"/>
    <w:rsid w:val="00347C34"/>
    <w:rsid w:val="00347D28"/>
    <w:rsid w:val="00347DAA"/>
    <w:rsid w:val="00350A9D"/>
    <w:rsid w:val="00350F55"/>
    <w:rsid w:val="00351100"/>
    <w:rsid w:val="003512C2"/>
    <w:rsid w:val="00351741"/>
    <w:rsid w:val="0035174E"/>
    <w:rsid w:val="0035175B"/>
    <w:rsid w:val="00351A4A"/>
    <w:rsid w:val="00351BE3"/>
    <w:rsid w:val="00351DB9"/>
    <w:rsid w:val="00351F11"/>
    <w:rsid w:val="00352474"/>
    <w:rsid w:val="00352A3F"/>
    <w:rsid w:val="00352FD1"/>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660"/>
    <w:rsid w:val="0035790E"/>
    <w:rsid w:val="00357AF6"/>
    <w:rsid w:val="00357E24"/>
    <w:rsid w:val="00357EF2"/>
    <w:rsid w:val="00360272"/>
    <w:rsid w:val="00360332"/>
    <w:rsid w:val="00360477"/>
    <w:rsid w:val="0036053A"/>
    <w:rsid w:val="0036062D"/>
    <w:rsid w:val="003606BF"/>
    <w:rsid w:val="0036097D"/>
    <w:rsid w:val="00360BDA"/>
    <w:rsid w:val="00360D5D"/>
    <w:rsid w:val="00361163"/>
    <w:rsid w:val="0036128C"/>
    <w:rsid w:val="0036168D"/>
    <w:rsid w:val="00361C30"/>
    <w:rsid w:val="0036205A"/>
    <w:rsid w:val="003620FE"/>
    <w:rsid w:val="0036213C"/>
    <w:rsid w:val="00362D3F"/>
    <w:rsid w:val="00363216"/>
    <w:rsid w:val="003632D5"/>
    <w:rsid w:val="00363BB8"/>
    <w:rsid w:val="00363CDA"/>
    <w:rsid w:val="00364A79"/>
    <w:rsid w:val="00364B92"/>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6F8B"/>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42"/>
    <w:rsid w:val="00385EBA"/>
    <w:rsid w:val="003868FF"/>
    <w:rsid w:val="00386BC3"/>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47E"/>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21"/>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647"/>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ABC"/>
    <w:rsid w:val="003E2C8E"/>
    <w:rsid w:val="003E2D63"/>
    <w:rsid w:val="003E2FFD"/>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4D69"/>
    <w:rsid w:val="003E5043"/>
    <w:rsid w:val="003E5090"/>
    <w:rsid w:val="003E571C"/>
    <w:rsid w:val="003E58DD"/>
    <w:rsid w:val="003E5A28"/>
    <w:rsid w:val="003E5F7E"/>
    <w:rsid w:val="003E62C6"/>
    <w:rsid w:val="003E65DD"/>
    <w:rsid w:val="003E6895"/>
    <w:rsid w:val="003E6A88"/>
    <w:rsid w:val="003E6B10"/>
    <w:rsid w:val="003E6B51"/>
    <w:rsid w:val="003E73CF"/>
    <w:rsid w:val="003E7426"/>
    <w:rsid w:val="003F0008"/>
    <w:rsid w:val="003F0279"/>
    <w:rsid w:val="003F0332"/>
    <w:rsid w:val="003F035D"/>
    <w:rsid w:val="003F041F"/>
    <w:rsid w:val="003F050B"/>
    <w:rsid w:val="003F06D3"/>
    <w:rsid w:val="003F0865"/>
    <w:rsid w:val="003F09B4"/>
    <w:rsid w:val="003F09EB"/>
    <w:rsid w:val="003F0A9A"/>
    <w:rsid w:val="003F0B81"/>
    <w:rsid w:val="003F150A"/>
    <w:rsid w:val="003F1C5F"/>
    <w:rsid w:val="003F2118"/>
    <w:rsid w:val="003F212F"/>
    <w:rsid w:val="003F21AE"/>
    <w:rsid w:val="003F2483"/>
    <w:rsid w:val="003F24E3"/>
    <w:rsid w:val="003F25F0"/>
    <w:rsid w:val="003F2759"/>
    <w:rsid w:val="003F29A0"/>
    <w:rsid w:val="003F29D4"/>
    <w:rsid w:val="003F31E3"/>
    <w:rsid w:val="003F34F9"/>
    <w:rsid w:val="003F3839"/>
    <w:rsid w:val="003F3881"/>
    <w:rsid w:val="003F3E16"/>
    <w:rsid w:val="003F44A3"/>
    <w:rsid w:val="003F4571"/>
    <w:rsid w:val="003F4587"/>
    <w:rsid w:val="003F459C"/>
    <w:rsid w:val="003F47BA"/>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2C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73"/>
    <w:rsid w:val="004253AE"/>
    <w:rsid w:val="004254F7"/>
    <w:rsid w:val="0042553B"/>
    <w:rsid w:val="004257FF"/>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8E"/>
    <w:rsid w:val="00452B9D"/>
    <w:rsid w:val="00452C58"/>
    <w:rsid w:val="00452DCB"/>
    <w:rsid w:val="004532E9"/>
    <w:rsid w:val="004535AC"/>
    <w:rsid w:val="00453808"/>
    <w:rsid w:val="00453AFE"/>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3B"/>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2EA0"/>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5EEB"/>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42B"/>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8CB"/>
    <w:rsid w:val="004B69D6"/>
    <w:rsid w:val="004B6E17"/>
    <w:rsid w:val="004B6EE0"/>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5BE"/>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2F4"/>
    <w:rsid w:val="004D057E"/>
    <w:rsid w:val="004D06A1"/>
    <w:rsid w:val="004D0859"/>
    <w:rsid w:val="004D0961"/>
    <w:rsid w:val="004D0963"/>
    <w:rsid w:val="004D0BDB"/>
    <w:rsid w:val="004D0FAD"/>
    <w:rsid w:val="004D0FFA"/>
    <w:rsid w:val="004D1299"/>
    <w:rsid w:val="004D1732"/>
    <w:rsid w:val="004D1853"/>
    <w:rsid w:val="004D1924"/>
    <w:rsid w:val="004D1C15"/>
    <w:rsid w:val="004D1D95"/>
    <w:rsid w:val="004D1E12"/>
    <w:rsid w:val="004D29BF"/>
    <w:rsid w:val="004D2A56"/>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6D15"/>
    <w:rsid w:val="004E710C"/>
    <w:rsid w:val="004E73F2"/>
    <w:rsid w:val="004E7AA8"/>
    <w:rsid w:val="004E7B9E"/>
    <w:rsid w:val="004F06EA"/>
    <w:rsid w:val="004F0831"/>
    <w:rsid w:val="004F087B"/>
    <w:rsid w:val="004F087E"/>
    <w:rsid w:val="004F0AD0"/>
    <w:rsid w:val="004F0F6D"/>
    <w:rsid w:val="004F0FE9"/>
    <w:rsid w:val="004F1064"/>
    <w:rsid w:val="004F15AE"/>
    <w:rsid w:val="004F171E"/>
    <w:rsid w:val="004F1913"/>
    <w:rsid w:val="004F209F"/>
    <w:rsid w:val="004F2190"/>
    <w:rsid w:val="004F223E"/>
    <w:rsid w:val="004F24CF"/>
    <w:rsid w:val="004F27CF"/>
    <w:rsid w:val="004F29F7"/>
    <w:rsid w:val="004F2C4C"/>
    <w:rsid w:val="004F2D8B"/>
    <w:rsid w:val="004F2DD5"/>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79F"/>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09"/>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BC"/>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6E"/>
    <w:rsid w:val="005178BF"/>
    <w:rsid w:val="00517994"/>
    <w:rsid w:val="00517E9F"/>
    <w:rsid w:val="00517EDC"/>
    <w:rsid w:val="00517FA1"/>
    <w:rsid w:val="0052014E"/>
    <w:rsid w:val="00520493"/>
    <w:rsid w:val="0052053A"/>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0BC5"/>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36C"/>
    <w:rsid w:val="00551A4A"/>
    <w:rsid w:val="00551A78"/>
    <w:rsid w:val="00551BD3"/>
    <w:rsid w:val="00551D3D"/>
    <w:rsid w:val="00551F22"/>
    <w:rsid w:val="005520BB"/>
    <w:rsid w:val="005521E0"/>
    <w:rsid w:val="0055234C"/>
    <w:rsid w:val="00552AEE"/>
    <w:rsid w:val="00552E27"/>
    <w:rsid w:val="0055316D"/>
    <w:rsid w:val="00553440"/>
    <w:rsid w:val="00553491"/>
    <w:rsid w:val="005535D8"/>
    <w:rsid w:val="00553793"/>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6AEE"/>
    <w:rsid w:val="00556E51"/>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C86"/>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A1"/>
    <w:rsid w:val="005748FB"/>
    <w:rsid w:val="00574D67"/>
    <w:rsid w:val="00575307"/>
    <w:rsid w:val="00575363"/>
    <w:rsid w:val="0057552F"/>
    <w:rsid w:val="005755AC"/>
    <w:rsid w:val="00575610"/>
    <w:rsid w:val="00575696"/>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8E5"/>
    <w:rsid w:val="005948EA"/>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2F7E"/>
    <w:rsid w:val="005C306F"/>
    <w:rsid w:val="005C3070"/>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80D"/>
    <w:rsid w:val="005D0922"/>
    <w:rsid w:val="005D09A6"/>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890"/>
    <w:rsid w:val="005E089A"/>
    <w:rsid w:val="005E090A"/>
    <w:rsid w:val="005E0964"/>
    <w:rsid w:val="005E0B23"/>
    <w:rsid w:val="005E0B62"/>
    <w:rsid w:val="005E0DB8"/>
    <w:rsid w:val="005E0E26"/>
    <w:rsid w:val="005E0F8A"/>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3FD9"/>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0DF"/>
    <w:rsid w:val="0060147C"/>
    <w:rsid w:val="006014DF"/>
    <w:rsid w:val="00601666"/>
    <w:rsid w:val="00601B27"/>
    <w:rsid w:val="00601B9B"/>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F7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8AC"/>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BE9"/>
    <w:rsid w:val="0064402C"/>
    <w:rsid w:val="0064403A"/>
    <w:rsid w:val="0064408E"/>
    <w:rsid w:val="006443BD"/>
    <w:rsid w:val="00644B7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0F"/>
    <w:rsid w:val="006541F2"/>
    <w:rsid w:val="00654254"/>
    <w:rsid w:val="006542E6"/>
    <w:rsid w:val="0065441D"/>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A17"/>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55"/>
    <w:rsid w:val="0066369F"/>
    <w:rsid w:val="00663852"/>
    <w:rsid w:val="00663958"/>
    <w:rsid w:val="00664045"/>
    <w:rsid w:val="00664173"/>
    <w:rsid w:val="00664392"/>
    <w:rsid w:val="00665C0E"/>
    <w:rsid w:val="00665EDD"/>
    <w:rsid w:val="00665FD1"/>
    <w:rsid w:val="00666295"/>
    <w:rsid w:val="00666699"/>
    <w:rsid w:val="00666758"/>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35"/>
    <w:rsid w:val="00695CCB"/>
    <w:rsid w:val="00695E17"/>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121"/>
    <w:rsid w:val="006A331E"/>
    <w:rsid w:val="006A35A7"/>
    <w:rsid w:val="006A35AD"/>
    <w:rsid w:val="006A3851"/>
    <w:rsid w:val="006A4083"/>
    <w:rsid w:val="006A41D7"/>
    <w:rsid w:val="006A425B"/>
    <w:rsid w:val="006A44C9"/>
    <w:rsid w:val="006A46E0"/>
    <w:rsid w:val="006A4D56"/>
    <w:rsid w:val="006A4F71"/>
    <w:rsid w:val="006A4FA6"/>
    <w:rsid w:val="006A5055"/>
    <w:rsid w:val="006A513B"/>
    <w:rsid w:val="006A5160"/>
    <w:rsid w:val="006A5951"/>
    <w:rsid w:val="006A5D2B"/>
    <w:rsid w:val="006A5EA2"/>
    <w:rsid w:val="006A64F8"/>
    <w:rsid w:val="006A676A"/>
    <w:rsid w:val="006A6FC3"/>
    <w:rsid w:val="006A73B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0F92"/>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3E40"/>
    <w:rsid w:val="006B41AC"/>
    <w:rsid w:val="006B4653"/>
    <w:rsid w:val="006B4699"/>
    <w:rsid w:val="006B4A8E"/>
    <w:rsid w:val="006B4AFF"/>
    <w:rsid w:val="006B4D33"/>
    <w:rsid w:val="006B516F"/>
    <w:rsid w:val="006B5538"/>
    <w:rsid w:val="006B5BBF"/>
    <w:rsid w:val="006B614F"/>
    <w:rsid w:val="006B622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3"/>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5A5"/>
    <w:rsid w:val="006D1635"/>
    <w:rsid w:val="006D16EF"/>
    <w:rsid w:val="006D1C3C"/>
    <w:rsid w:val="006D205A"/>
    <w:rsid w:val="006D243A"/>
    <w:rsid w:val="006D255A"/>
    <w:rsid w:val="006D27E1"/>
    <w:rsid w:val="006D2B94"/>
    <w:rsid w:val="006D2CBA"/>
    <w:rsid w:val="006D2D5A"/>
    <w:rsid w:val="006D2DB1"/>
    <w:rsid w:val="006D2F6D"/>
    <w:rsid w:val="006D349F"/>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000"/>
    <w:rsid w:val="006D53F1"/>
    <w:rsid w:val="006D5431"/>
    <w:rsid w:val="006D546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53"/>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4EE"/>
    <w:rsid w:val="00702690"/>
    <w:rsid w:val="00702715"/>
    <w:rsid w:val="0070277C"/>
    <w:rsid w:val="0070298E"/>
    <w:rsid w:val="00702B98"/>
    <w:rsid w:val="00702BD1"/>
    <w:rsid w:val="007030D1"/>
    <w:rsid w:val="00703891"/>
    <w:rsid w:val="00703C0D"/>
    <w:rsid w:val="00703C5E"/>
    <w:rsid w:val="00703E8B"/>
    <w:rsid w:val="007040A3"/>
    <w:rsid w:val="00704124"/>
    <w:rsid w:val="0070455C"/>
    <w:rsid w:val="0070473C"/>
    <w:rsid w:val="00704F80"/>
    <w:rsid w:val="00705004"/>
    <w:rsid w:val="0070501A"/>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8D"/>
    <w:rsid w:val="00710FCA"/>
    <w:rsid w:val="00711048"/>
    <w:rsid w:val="00711108"/>
    <w:rsid w:val="00711195"/>
    <w:rsid w:val="007116F8"/>
    <w:rsid w:val="007117DC"/>
    <w:rsid w:val="007118C5"/>
    <w:rsid w:val="007118D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2CD"/>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2EC4"/>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EF0"/>
    <w:rsid w:val="00736F90"/>
    <w:rsid w:val="00737151"/>
    <w:rsid w:val="00737359"/>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815"/>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3B8"/>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922"/>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654"/>
    <w:rsid w:val="00781920"/>
    <w:rsid w:val="00781F8F"/>
    <w:rsid w:val="00782574"/>
    <w:rsid w:val="00782623"/>
    <w:rsid w:val="007826C7"/>
    <w:rsid w:val="0078282F"/>
    <w:rsid w:val="0078291B"/>
    <w:rsid w:val="00782A27"/>
    <w:rsid w:val="00782D4F"/>
    <w:rsid w:val="007831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00"/>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FFA"/>
    <w:rsid w:val="007A2123"/>
    <w:rsid w:val="007A228D"/>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3FB"/>
    <w:rsid w:val="007B05DD"/>
    <w:rsid w:val="007B093D"/>
    <w:rsid w:val="007B0955"/>
    <w:rsid w:val="007B09CE"/>
    <w:rsid w:val="007B1332"/>
    <w:rsid w:val="007B1546"/>
    <w:rsid w:val="007B1549"/>
    <w:rsid w:val="007B161D"/>
    <w:rsid w:val="007B18E7"/>
    <w:rsid w:val="007B1AA9"/>
    <w:rsid w:val="007B1B4B"/>
    <w:rsid w:val="007B1BF9"/>
    <w:rsid w:val="007B23D1"/>
    <w:rsid w:val="007B24C2"/>
    <w:rsid w:val="007B26E2"/>
    <w:rsid w:val="007B271D"/>
    <w:rsid w:val="007B2874"/>
    <w:rsid w:val="007B2AB8"/>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958"/>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C9C"/>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11"/>
    <w:rsid w:val="007F4095"/>
    <w:rsid w:val="007F41D1"/>
    <w:rsid w:val="007F423F"/>
    <w:rsid w:val="007F4293"/>
    <w:rsid w:val="007F4294"/>
    <w:rsid w:val="007F4AC5"/>
    <w:rsid w:val="007F5805"/>
    <w:rsid w:val="007F59CE"/>
    <w:rsid w:val="007F5C93"/>
    <w:rsid w:val="007F5E23"/>
    <w:rsid w:val="007F6595"/>
    <w:rsid w:val="007F65D2"/>
    <w:rsid w:val="007F665D"/>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07F"/>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2CFB"/>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CF8"/>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CE8"/>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38"/>
    <w:rsid w:val="00833161"/>
    <w:rsid w:val="008331B6"/>
    <w:rsid w:val="0083321E"/>
    <w:rsid w:val="008334D5"/>
    <w:rsid w:val="008334FA"/>
    <w:rsid w:val="00833821"/>
    <w:rsid w:val="00833AB9"/>
    <w:rsid w:val="00833B35"/>
    <w:rsid w:val="00833E30"/>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DD5"/>
    <w:rsid w:val="00850E80"/>
    <w:rsid w:val="008511E6"/>
    <w:rsid w:val="00851301"/>
    <w:rsid w:val="008515B3"/>
    <w:rsid w:val="008515EC"/>
    <w:rsid w:val="0085268F"/>
    <w:rsid w:val="00852758"/>
    <w:rsid w:val="00852AFC"/>
    <w:rsid w:val="00852BA3"/>
    <w:rsid w:val="00852D8D"/>
    <w:rsid w:val="00852E00"/>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895"/>
    <w:rsid w:val="00861A4A"/>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750"/>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722"/>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AFA"/>
    <w:rsid w:val="00876B52"/>
    <w:rsid w:val="00876EEE"/>
    <w:rsid w:val="00876F47"/>
    <w:rsid w:val="00876F52"/>
    <w:rsid w:val="00876FD4"/>
    <w:rsid w:val="00877089"/>
    <w:rsid w:val="0087725A"/>
    <w:rsid w:val="008773E6"/>
    <w:rsid w:val="00877633"/>
    <w:rsid w:val="0087774B"/>
    <w:rsid w:val="0087782A"/>
    <w:rsid w:val="008779E8"/>
    <w:rsid w:val="00877CAC"/>
    <w:rsid w:val="00877DD1"/>
    <w:rsid w:val="008800DA"/>
    <w:rsid w:val="008801A7"/>
    <w:rsid w:val="008801DD"/>
    <w:rsid w:val="0088065A"/>
    <w:rsid w:val="00880793"/>
    <w:rsid w:val="008809D8"/>
    <w:rsid w:val="00880C6B"/>
    <w:rsid w:val="00880F30"/>
    <w:rsid w:val="00881049"/>
    <w:rsid w:val="008811F4"/>
    <w:rsid w:val="008817D3"/>
    <w:rsid w:val="0088194D"/>
    <w:rsid w:val="00881FF2"/>
    <w:rsid w:val="00882050"/>
    <w:rsid w:val="008823EE"/>
    <w:rsid w:val="008823F6"/>
    <w:rsid w:val="00882438"/>
    <w:rsid w:val="008824E0"/>
    <w:rsid w:val="0088278B"/>
    <w:rsid w:val="00882BE0"/>
    <w:rsid w:val="0088306A"/>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84"/>
    <w:rsid w:val="00886F21"/>
    <w:rsid w:val="00887576"/>
    <w:rsid w:val="00887580"/>
    <w:rsid w:val="00887846"/>
    <w:rsid w:val="008878DE"/>
    <w:rsid w:val="0088794C"/>
    <w:rsid w:val="00887FFE"/>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C73"/>
    <w:rsid w:val="008A707C"/>
    <w:rsid w:val="008A70A5"/>
    <w:rsid w:val="008A7285"/>
    <w:rsid w:val="008A749D"/>
    <w:rsid w:val="008A749E"/>
    <w:rsid w:val="008A74D0"/>
    <w:rsid w:val="008A75F2"/>
    <w:rsid w:val="008A7621"/>
    <w:rsid w:val="008A76B9"/>
    <w:rsid w:val="008A79C7"/>
    <w:rsid w:val="008A79FA"/>
    <w:rsid w:val="008A7AA4"/>
    <w:rsid w:val="008A7B31"/>
    <w:rsid w:val="008A7B50"/>
    <w:rsid w:val="008A7F3E"/>
    <w:rsid w:val="008B0182"/>
    <w:rsid w:val="008B08FC"/>
    <w:rsid w:val="008B0941"/>
    <w:rsid w:val="008B0AF1"/>
    <w:rsid w:val="008B0B24"/>
    <w:rsid w:val="008B0E5A"/>
    <w:rsid w:val="008B0F21"/>
    <w:rsid w:val="008B1045"/>
    <w:rsid w:val="008B10A7"/>
    <w:rsid w:val="008B16F6"/>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7EC"/>
    <w:rsid w:val="008C280A"/>
    <w:rsid w:val="008C2DD1"/>
    <w:rsid w:val="008C2E92"/>
    <w:rsid w:val="008C314F"/>
    <w:rsid w:val="008C3401"/>
    <w:rsid w:val="008C346D"/>
    <w:rsid w:val="008C360F"/>
    <w:rsid w:val="008C3E0B"/>
    <w:rsid w:val="008C3E8D"/>
    <w:rsid w:val="008C40AE"/>
    <w:rsid w:val="008C41D3"/>
    <w:rsid w:val="008C4258"/>
    <w:rsid w:val="008C43F5"/>
    <w:rsid w:val="008C4448"/>
    <w:rsid w:val="008C4604"/>
    <w:rsid w:val="008C46BC"/>
    <w:rsid w:val="008C4ACE"/>
    <w:rsid w:val="008C5357"/>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22"/>
    <w:rsid w:val="008C7380"/>
    <w:rsid w:val="008C7461"/>
    <w:rsid w:val="008C7825"/>
    <w:rsid w:val="008C782C"/>
    <w:rsid w:val="008C7903"/>
    <w:rsid w:val="008C7A35"/>
    <w:rsid w:val="008C7A36"/>
    <w:rsid w:val="008C7ADE"/>
    <w:rsid w:val="008C7CF5"/>
    <w:rsid w:val="008C7D10"/>
    <w:rsid w:val="008C7F7A"/>
    <w:rsid w:val="008D01D3"/>
    <w:rsid w:val="008D02B4"/>
    <w:rsid w:val="008D02F0"/>
    <w:rsid w:val="008D0564"/>
    <w:rsid w:val="008D0598"/>
    <w:rsid w:val="008D05C2"/>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166"/>
    <w:rsid w:val="008D6225"/>
    <w:rsid w:val="008D688F"/>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6C5"/>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75"/>
    <w:rsid w:val="008F14E5"/>
    <w:rsid w:val="008F15AC"/>
    <w:rsid w:val="008F161A"/>
    <w:rsid w:val="008F18E6"/>
    <w:rsid w:val="008F19C8"/>
    <w:rsid w:val="008F1AE0"/>
    <w:rsid w:val="008F1D2E"/>
    <w:rsid w:val="008F1EEA"/>
    <w:rsid w:val="008F234E"/>
    <w:rsid w:val="008F2373"/>
    <w:rsid w:val="008F2523"/>
    <w:rsid w:val="008F2598"/>
    <w:rsid w:val="008F2D82"/>
    <w:rsid w:val="008F2E57"/>
    <w:rsid w:val="008F2ED3"/>
    <w:rsid w:val="008F2ED4"/>
    <w:rsid w:val="008F2F60"/>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1D"/>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1AF"/>
    <w:rsid w:val="0090269D"/>
    <w:rsid w:val="009028AE"/>
    <w:rsid w:val="00902F34"/>
    <w:rsid w:val="00903024"/>
    <w:rsid w:val="009034FC"/>
    <w:rsid w:val="0090375A"/>
    <w:rsid w:val="00903C02"/>
    <w:rsid w:val="00903CFB"/>
    <w:rsid w:val="00903D2F"/>
    <w:rsid w:val="00903D6F"/>
    <w:rsid w:val="00903DBF"/>
    <w:rsid w:val="009040D7"/>
    <w:rsid w:val="00904467"/>
    <w:rsid w:val="00904654"/>
    <w:rsid w:val="00904795"/>
    <w:rsid w:val="00904A5D"/>
    <w:rsid w:val="00904D7E"/>
    <w:rsid w:val="009051CB"/>
    <w:rsid w:val="009054E6"/>
    <w:rsid w:val="009058B8"/>
    <w:rsid w:val="00905956"/>
    <w:rsid w:val="00905CFB"/>
    <w:rsid w:val="00906097"/>
    <w:rsid w:val="009065EC"/>
    <w:rsid w:val="009065ED"/>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473"/>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262"/>
    <w:rsid w:val="0091636F"/>
    <w:rsid w:val="009163F2"/>
    <w:rsid w:val="0091648D"/>
    <w:rsid w:val="00916695"/>
    <w:rsid w:val="009166D6"/>
    <w:rsid w:val="00916862"/>
    <w:rsid w:val="009168D0"/>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EB5"/>
    <w:rsid w:val="00922F57"/>
    <w:rsid w:val="009232A5"/>
    <w:rsid w:val="00923437"/>
    <w:rsid w:val="009235AE"/>
    <w:rsid w:val="0092390D"/>
    <w:rsid w:val="00923A26"/>
    <w:rsid w:val="009240AE"/>
    <w:rsid w:val="0092423D"/>
    <w:rsid w:val="00924378"/>
    <w:rsid w:val="00924546"/>
    <w:rsid w:val="00924BF5"/>
    <w:rsid w:val="00924EAE"/>
    <w:rsid w:val="00924FC4"/>
    <w:rsid w:val="009256E4"/>
    <w:rsid w:val="00925756"/>
    <w:rsid w:val="0092596B"/>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791"/>
    <w:rsid w:val="00930B68"/>
    <w:rsid w:val="00930BC9"/>
    <w:rsid w:val="00930CDA"/>
    <w:rsid w:val="00930FE1"/>
    <w:rsid w:val="009310DC"/>
    <w:rsid w:val="0093116F"/>
    <w:rsid w:val="00931258"/>
    <w:rsid w:val="009312D1"/>
    <w:rsid w:val="00931736"/>
    <w:rsid w:val="00931852"/>
    <w:rsid w:val="0093193C"/>
    <w:rsid w:val="00931DF0"/>
    <w:rsid w:val="00931E29"/>
    <w:rsid w:val="00931E4A"/>
    <w:rsid w:val="009320F9"/>
    <w:rsid w:val="009321DF"/>
    <w:rsid w:val="009322E6"/>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EE6"/>
    <w:rsid w:val="00942F2A"/>
    <w:rsid w:val="00942F41"/>
    <w:rsid w:val="00943004"/>
    <w:rsid w:val="00943811"/>
    <w:rsid w:val="00943B2D"/>
    <w:rsid w:val="00943C89"/>
    <w:rsid w:val="00943F31"/>
    <w:rsid w:val="009440E4"/>
    <w:rsid w:val="00944130"/>
    <w:rsid w:val="009441D1"/>
    <w:rsid w:val="009442B5"/>
    <w:rsid w:val="00944464"/>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76"/>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8C7"/>
    <w:rsid w:val="00956907"/>
    <w:rsid w:val="00956910"/>
    <w:rsid w:val="00956C10"/>
    <w:rsid w:val="00956F1C"/>
    <w:rsid w:val="00956F4A"/>
    <w:rsid w:val="009572A1"/>
    <w:rsid w:val="0095765C"/>
    <w:rsid w:val="00957E30"/>
    <w:rsid w:val="00957FD3"/>
    <w:rsid w:val="009600D5"/>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47E"/>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3C2"/>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7C"/>
    <w:rsid w:val="0098698B"/>
    <w:rsid w:val="00986AB2"/>
    <w:rsid w:val="00986DD5"/>
    <w:rsid w:val="00986E4B"/>
    <w:rsid w:val="00986F46"/>
    <w:rsid w:val="0098707D"/>
    <w:rsid w:val="0098740A"/>
    <w:rsid w:val="00987484"/>
    <w:rsid w:val="00987A4A"/>
    <w:rsid w:val="00987B87"/>
    <w:rsid w:val="00987C62"/>
    <w:rsid w:val="009906F6"/>
    <w:rsid w:val="0099089D"/>
    <w:rsid w:val="009908A7"/>
    <w:rsid w:val="0099098A"/>
    <w:rsid w:val="00990F72"/>
    <w:rsid w:val="00991141"/>
    <w:rsid w:val="0099142E"/>
    <w:rsid w:val="00991634"/>
    <w:rsid w:val="0099173A"/>
    <w:rsid w:val="0099175F"/>
    <w:rsid w:val="00991B29"/>
    <w:rsid w:val="00991C48"/>
    <w:rsid w:val="00991FBB"/>
    <w:rsid w:val="009926B8"/>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3F91"/>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6DB0"/>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CFC"/>
    <w:rsid w:val="009A4FF9"/>
    <w:rsid w:val="009A55B9"/>
    <w:rsid w:val="009A59A2"/>
    <w:rsid w:val="009A5A26"/>
    <w:rsid w:val="009A5B27"/>
    <w:rsid w:val="009A5C61"/>
    <w:rsid w:val="009A5DAD"/>
    <w:rsid w:val="009A64C3"/>
    <w:rsid w:val="009A65FE"/>
    <w:rsid w:val="009A687B"/>
    <w:rsid w:val="009A6A63"/>
    <w:rsid w:val="009A6A70"/>
    <w:rsid w:val="009A6D38"/>
    <w:rsid w:val="009A6E11"/>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78"/>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3C"/>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B7FB9"/>
    <w:rsid w:val="009C0056"/>
    <w:rsid w:val="009C0254"/>
    <w:rsid w:val="009C04A7"/>
    <w:rsid w:val="009C0800"/>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26B"/>
    <w:rsid w:val="009C5497"/>
    <w:rsid w:val="009C564D"/>
    <w:rsid w:val="009C5A8B"/>
    <w:rsid w:val="009C5B88"/>
    <w:rsid w:val="009C5F66"/>
    <w:rsid w:val="009C608C"/>
    <w:rsid w:val="009C62A8"/>
    <w:rsid w:val="009C68AE"/>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871"/>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4"/>
    <w:rsid w:val="009D6D2E"/>
    <w:rsid w:val="009D6E8A"/>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BFB"/>
    <w:rsid w:val="009E3E5E"/>
    <w:rsid w:val="009E45EA"/>
    <w:rsid w:val="009E4A2D"/>
    <w:rsid w:val="009E50C1"/>
    <w:rsid w:val="009E51DE"/>
    <w:rsid w:val="009E53B3"/>
    <w:rsid w:val="009E54FA"/>
    <w:rsid w:val="009E5596"/>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388"/>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3C01"/>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1D"/>
    <w:rsid w:val="00A05A38"/>
    <w:rsid w:val="00A05AF6"/>
    <w:rsid w:val="00A05BD0"/>
    <w:rsid w:val="00A06442"/>
    <w:rsid w:val="00A066B0"/>
    <w:rsid w:val="00A0673C"/>
    <w:rsid w:val="00A06B63"/>
    <w:rsid w:val="00A06D57"/>
    <w:rsid w:val="00A06EE9"/>
    <w:rsid w:val="00A06FDC"/>
    <w:rsid w:val="00A07219"/>
    <w:rsid w:val="00A072C3"/>
    <w:rsid w:val="00A07434"/>
    <w:rsid w:val="00A100C9"/>
    <w:rsid w:val="00A10124"/>
    <w:rsid w:val="00A10416"/>
    <w:rsid w:val="00A1076C"/>
    <w:rsid w:val="00A108EA"/>
    <w:rsid w:val="00A10C88"/>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6B5"/>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9E0"/>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3D"/>
    <w:rsid w:val="00A34B3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0AB"/>
    <w:rsid w:val="00A410D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3B1"/>
    <w:rsid w:val="00A464D0"/>
    <w:rsid w:val="00A464FF"/>
    <w:rsid w:val="00A46943"/>
    <w:rsid w:val="00A46A04"/>
    <w:rsid w:val="00A46F81"/>
    <w:rsid w:val="00A46FD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A1D"/>
    <w:rsid w:val="00A72D4B"/>
    <w:rsid w:val="00A72EC9"/>
    <w:rsid w:val="00A731E8"/>
    <w:rsid w:val="00A73461"/>
    <w:rsid w:val="00A734E2"/>
    <w:rsid w:val="00A73718"/>
    <w:rsid w:val="00A73870"/>
    <w:rsid w:val="00A73C47"/>
    <w:rsid w:val="00A73FAB"/>
    <w:rsid w:val="00A742BA"/>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1FE"/>
    <w:rsid w:val="00A826E5"/>
    <w:rsid w:val="00A827F3"/>
    <w:rsid w:val="00A82BBE"/>
    <w:rsid w:val="00A82D6A"/>
    <w:rsid w:val="00A83008"/>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97"/>
    <w:rsid w:val="00A95794"/>
    <w:rsid w:val="00A95B72"/>
    <w:rsid w:val="00A95BD2"/>
    <w:rsid w:val="00A9602C"/>
    <w:rsid w:val="00A96087"/>
    <w:rsid w:val="00A961CD"/>
    <w:rsid w:val="00A961E2"/>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9D"/>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2ED1"/>
    <w:rsid w:val="00AB31CC"/>
    <w:rsid w:val="00AB3251"/>
    <w:rsid w:val="00AB3328"/>
    <w:rsid w:val="00AB383F"/>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5AA"/>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E7F59"/>
    <w:rsid w:val="00AF0074"/>
    <w:rsid w:val="00AF04D7"/>
    <w:rsid w:val="00AF05B1"/>
    <w:rsid w:val="00AF0CF6"/>
    <w:rsid w:val="00AF0D9C"/>
    <w:rsid w:val="00AF10FE"/>
    <w:rsid w:val="00AF1384"/>
    <w:rsid w:val="00AF1689"/>
    <w:rsid w:val="00AF199D"/>
    <w:rsid w:val="00AF1F2E"/>
    <w:rsid w:val="00AF2158"/>
    <w:rsid w:val="00AF2177"/>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1DF2"/>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BE1"/>
    <w:rsid w:val="00B13C26"/>
    <w:rsid w:val="00B13CDC"/>
    <w:rsid w:val="00B13D9B"/>
    <w:rsid w:val="00B141C5"/>
    <w:rsid w:val="00B1440B"/>
    <w:rsid w:val="00B145EC"/>
    <w:rsid w:val="00B147D5"/>
    <w:rsid w:val="00B14A20"/>
    <w:rsid w:val="00B14EA5"/>
    <w:rsid w:val="00B15461"/>
    <w:rsid w:val="00B15542"/>
    <w:rsid w:val="00B15891"/>
    <w:rsid w:val="00B15A01"/>
    <w:rsid w:val="00B15ADA"/>
    <w:rsid w:val="00B15DBF"/>
    <w:rsid w:val="00B15FB4"/>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626"/>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91"/>
    <w:rsid w:val="00B313E6"/>
    <w:rsid w:val="00B31747"/>
    <w:rsid w:val="00B31C8B"/>
    <w:rsid w:val="00B31CDC"/>
    <w:rsid w:val="00B32605"/>
    <w:rsid w:val="00B32655"/>
    <w:rsid w:val="00B32E41"/>
    <w:rsid w:val="00B32E50"/>
    <w:rsid w:val="00B3303D"/>
    <w:rsid w:val="00B3334C"/>
    <w:rsid w:val="00B334A9"/>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EC2"/>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8"/>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2AE"/>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59C"/>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229"/>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2B7"/>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BB1"/>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47"/>
    <w:rsid w:val="00BC5BCA"/>
    <w:rsid w:val="00BC5C55"/>
    <w:rsid w:val="00BC5E1C"/>
    <w:rsid w:val="00BC5E44"/>
    <w:rsid w:val="00BC5F62"/>
    <w:rsid w:val="00BC602D"/>
    <w:rsid w:val="00BC61B5"/>
    <w:rsid w:val="00BC635C"/>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98A"/>
    <w:rsid w:val="00BD1F29"/>
    <w:rsid w:val="00BD205D"/>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8FA"/>
    <w:rsid w:val="00BE0CBF"/>
    <w:rsid w:val="00BE0E19"/>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291"/>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746"/>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AE1"/>
    <w:rsid w:val="00C07B97"/>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48E6"/>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2"/>
    <w:rsid w:val="00C57958"/>
    <w:rsid w:val="00C57BD6"/>
    <w:rsid w:val="00C57CB7"/>
    <w:rsid w:val="00C57CE6"/>
    <w:rsid w:val="00C60027"/>
    <w:rsid w:val="00C601D9"/>
    <w:rsid w:val="00C60397"/>
    <w:rsid w:val="00C60534"/>
    <w:rsid w:val="00C6082D"/>
    <w:rsid w:val="00C609B5"/>
    <w:rsid w:val="00C60B4B"/>
    <w:rsid w:val="00C61050"/>
    <w:rsid w:val="00C610F1"/>
    <w:rsid w:val="00C616BC"/>
    <w:rsid w:val="00C61A0F"/>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969"/>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E2"/>
    <w:rsid w:val="00C713DB"/>
    <w:rsid w:val="00C7147A"/>
    <w:rsid w:val="00C714B6"/>
    <w:rsid w:val="00C71756"/>
    <w:rsid w:val="00C7186E"/>
    <w:rsid w:val="00C71A28"/>
    <w:rsid w:val="00C71D1B"/>
    <w:rsid w:val="00C71EA8"/>
    <w:rsid w:val="00C71EAC"/>
    <w:rsid w:val="00C720C2"/>
    <w:rsid w:val="00C7236C"/>
    <w:rsid w:val="00C724D9"/>
    <w:rsid w:val="00C725E4"/>
    <w:rsid w:val="00C7300F"/>
    <w:rsid w:val="00C73205"/>
    <w:rsid w:val="00C73421"/>
    <w:rsid w:val="00C73549"/>
    <w:rsid w:val="00C73910"/>
    <w:rsid w:val="00C73B6C"/>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5274"/>
    <w:rsid w:val="00C85805"/>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006"/>
    <w:rsid w:val="00CA2201"/>
    <w:rsid w:val="00CA31AC"/>
    <w:rsid w:val="00CA32AE"/>
    <w:rsid w:val="00CA333B"/>
    <w:rsid w:val="00CA3656"/>
    <w:rsid w:val="00CA3698"/>
    <w:rsid w:val="00CA37EF"/>
    <w:rsid w:val="00CA3BB0"/>
    <w:rsid w:val="00CA3CC1"/>
    <w:rsid w:val="00CA3EF3"/>
    <w:rsid w:val="00CA46D9"/>
    <w:rsid w:val="00CA47F0"/>
    <w:rsid w:val="00CA4BD6"/>
    <w:rsid w:val="00CA4C3D"/>
    <w:rsid w:val="00CA4D0F"/>
    <w:rsid w:val="00CA4D69"/>
    <w:rsid w:val="00CA4F66"/>
    <w:rsid w:val="00CA54CE"/>
    <w:rsid w:val="00CA573E"/>
    <w:rsid w:val="00CA5775"/>
    <w:rsid w:val="00CA59AD"/>
    <w:rsid w:val="00CA5B35"/>
    <w:rsid w:val="00CA5B65"/>
    <w:rsid w:val="00CA5BCE"/>
    <w:rsid w:val="00CA5BE6"/>
    <w:rsid w:val="00CA5CE4"/>
    <w:rsid w:val="00CA6827"/>
    <w:rsid w:val="00CA69D0"/>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608"/>
    <w:rsid w:val="00CB3735"/>
    <w:rsid w:val="00CB387A"/>
    <w:rsid w:val="00CB3968"/>
    <w:rsid w:val="00CB3BD1"/>
    <w:rsid w:val="00CB3E90"/>
    <w:rsid w:val="00CB4372"/>
    <w:rsid w:val="00CB439E"/>
    <w:rsid w:val="00CB445C"/>
    <w:rsid w:val="00CB44E8"/>
    <w:rsid w:val="00CB4C16"/>
    <w:rsid w:val="00CB4DCB"/>
    <w:rsid w:val="00CB4EFA"/>
    <w:rsid w:val="00CB51F8"/>
    <w:rsid w:val="00CB55BA"/>
    <w:rsid w:val="00CB5BF0"/>
    <w:rsid w:val="00CB6152"/>
    <w:rsid w:val="00CB62E1"/>
    <w:rsid w:val="00CB6317"/>
    <w:rsid w:val="00CB631C"/>
    <w:rsid w:val="00CB6488"/>
    <w:rsid w:val="00CB6532"/>
    <w:rsid w:val="00CB6562"/>
    <w:rsid w:val="00CB65F2"/>
    <w:rsid w:val="00CB660F"/>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280"/>
    <w:rsid w:val="00CC5E31"/>
    <w:rsid w:val="00CC5F6D"/>
    <w:rsid w:val="00CC665B"/>
    <w:rsid w:val="00CC6F30"/>
    <w:rsid w:val="00CC6FF1"/>
    <w:rsid w:val="00CC7024"/>
    <w:rsid w:val="00CC7105"/>
    <w:rsid w:val="00CC7718"/>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14B"/>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0D1"/>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86A"/>
    <w:rsid w:val="00CE59B4"/>
    <w:rsid w:val="00CE5CF9"/>
    <w:rsid w:val="00CE5CFA"/>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3FCA"/>
    <w:rsid w:val="00CF4140"/>
    <w:rsid w:val="00CF4242"/>
    <w:rsid w:val="00CF42C3"/>
    <w:rsid w:val="00CF43F8"/>
    <w:rsid w:val="00CF4593"/>
    <w:rsid w:val="00CF4732"/>
    <w:rsid w:val="00CF479A"/>
    <w:rsid w:val="00CF47B0"/>
    <w:rsid w:val="00CF4A1A"/>
    <w:rsid w:val="00CF4CE0"/>
    <w:rsid w:val="00CF503F"/>
    <w:rsid w:val="00CF539E"/>
    <w:rsid w:val="00CF53D4"/>
    <w:rsid w:val="00CF69E1"/>
    <w:rsid w:val="00CF69E7"/>
    <w:rsid w:val="00CF6BBB"/>
    <w:rsid w:val="00CF6CF9"/>
    <w:rsid w:val="00CF6CFA"/>
    <w:rsid w:val="00CF73B4"/>
    <w:rsid w:val="00CF76A4"/>
    <w:rsid w:val="00CF7713"/>
    <w:rsid w:val="00CF79FB"/>
    <w:rsid w:val="00CF7D32"/>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1C0"/>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227"/>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A60"/>
    <w:rsid w:val="00D45CAD"/>
    <w:rsid w:val="00D45DC2"/>
    <w:rsid w:val="00D46BCB"/>
    <w:rsid w:val="00D46D3E"/>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3F3E"/>
    <w:rsid w:val="00D643E5"/>
    <w:rsid w:val="00D643EA"/>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D0B"/>
    <w:rsid w:val="00D75304"/>
    <w:rsid w:val="00D7542F"/>
    <w:rsid w:val="00D7573D"/>
    <w:rsid w:val="00D75757"/>
    <w:rsid w:val="00D757ED"/>
    <w:rsid w:val="00D75A59"/>
    <w:rsid w:val="00D75EC6"/>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CA"/>
    <w:rsid w:val="00D932D1"/>
    <w:rsid w:val="00D933F0"/>
    <w:rsid w:val="00D9350F"/>
    <w:rsid w:val="00D937DD"/>
    <w:rsid w:val="00D938DC"/>
    <w:rsid w:val="00D93B05"/>
    <w:rsid w:val="00D93B7C"/>
    <w:rsid w:val="00D93F18"/>
    <w:rsid w:val="00D9400A"/>
    <w:rsid w:val="00D945E6"/>
    <w:rsid w:val="00D94AA2"/>
    <w:rsid w:val="00D9513B"/>
    <w:rsid w:val="00D95487"/>
    <w:rsid w:val="00D95675"/>
    <w:rsid w:val="00D95C43"/>
    <w:rsid w:val="00D96119"/>
    <w:rsid w:val="00D963B1"/>
    <w:rsid w:val="00D96509"/>
    <w:rsid w:val="00D9697E"/>
    <w:rsid w:val="00D974FE"/>
    <w:rsid w:val="00D97896"/>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08"/>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0B0"/>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1B2"/>
    <w:rsid w:val="00DB1992"/>
    <w:rsid w:val="00DB1C93"/>
    <w:rsid w:val="00DB2062"/>
    <w:rsid w:val="00DB2198"/>
    <w:rsid w:val="00DB253D"/>
    <w:rsid w:val="00DB2558"/>
    <w:rsid w:val="00DB2668"/>
    <w:rsid w:val="00DB2735"/>
    <w:rsid w:val="00DB2876"/>
    <w:rsid w:val="00DB2A37"/>
    <w:rsid w:val="00DB2BC2"/>
    <w:rsid w:val="00DB3033"/>
    <w:rsid w:val="00DB3177"/>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C80"/>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011"/>
    <w:rsid w:val="00DC51DF"/>
    <w:rsid w:val="00DC53D9"/>
    <w:rsid w:val="00DC540A"/>
    <w:rsid w:val="00DC56A4"/>
    <w:rsid w:val="00DC5863"/>
    <w:rsid w:val="00DC592B"/>
    <w:rsid w:val="00DC5BF8"/>
    <w:rsid w:val="00DC5DDA"/>
    <w:rsid w:val="00DC6080"/>
    <w:rsid w:val="00DC63BB"/>
    <w:rsid w:val="00DC63E3"/>
    <w:rsid w:val="00DC6564"/>
    <w:rsid w:val="00DC6608"/>
    <w:rsid w:val="00DC6729"/>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4C2"/>
    <w:rsid w:val="00DD150A"/>
    <w:rsid w:val="00DD19C0"/>
    <w:rsid w:val="00DD19E5"/>
    <w:rsid w:val="00DD1A4C"/>
    <w:rsid w:val="00DD1D34"/>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C4"/>
    <w:rsid w:val="00DE2685"/>
    <w:rsid w:val="00DE2918"/>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493"/>
    <w:rsid w:val="00E177C5"/>
    <w:rsid w:val="00E1795F"/>
    <w:rsid w:val="00E17C98"/>
    <w:rsid w:val="00E17EDC"/>
    <w:rsid w:val="00E20187"/>
    <w:rsid w:val="00E2038E"/>
    <w:rsid w:val="00E20935"/>
    <w:rsid w:val="00E20A96"/>
    <w:rsid w:val="00E20AA4"/>
    <w:rsid w:val="00E20B52"/>
    <w:rsid w:val="00E20CB6"/>
    <w:rsid w:val="00E2108F"/>
    <w:rsid w:val="00E2165B"/>
    <w:rsid w:val="00E218C0"/>
    <w:rsid w:val="00E219A8"/>
    <w:rsid w:val="00E21AFB"/>
    <w:rsid w:val="00E21BA2"/>
    <w:rsid w:val="00E21C27"/>
    <w:rsid w:val="00E22244"/>
    <w:rsid w:val="00E22345"/>
    <w:rsid w:val="00E229AE"/>
    <w:rsid w:val="00E22DA3"/>
    <w:rsid w:val="00E22DA8"/>
    <w:rsid w:val="00E23087"/>
    <w:rsid w:val="00E232D1"/>
    <w:rsid w:val="00E234BB"/>
    <w:rsid w:val="00E23770"/>
    <w:rsid w:val="00E2399D"/>
    <w:rsid w:val="00E23D2F"/>
    <w:rsid w:val="00E23F01"/>
    <w:rsid w:val="00E23F47"/>
    <w:rsid w:val="00E23F88"/>
    <w:rsid w:val="00E23FC3"/>
    <w:rsid w:val="00E23FC8"/>
    <w:rsid w:val="00E24386"/>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504"/>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157"/>
    <w:rsid w:val="00E512CD"/>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5F75"/>
    <w:rsid w:val="00E560B5"/>
    <w:rsid w:val="00E560DF"/>
    <w:rsid w:val="00E5633B"/>
    <w:rsid w:val="00E56488"/>
    <w:rsid w:val="00E569AD"/>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819"/>
    <w:rsid w:val="00E6783F"/>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188"/>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4C1"/>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C3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620"/>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98"/>
    <w:rsid w:val="00EB4DA1"/>
    <w:rsid w:val="00EB5009"/>
    <w:rsid w:val="00EB519E"/>
    <w:rsid w:val="00EB562C"/>
    <w:rsid w:val="00EB5C95"/>
    <w:rsid w:val="00EB5FCF"/>
    <w:rsid w:val="00EB6411"/>
    <w:rsid w:val="00EB6554"/>
    <w:rsid w:val="00EB6830"/>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707"/>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AB5"/>
    <w:rsid w:val="00F01F3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BC3"/>
    <w:rsid w:val="00F06190"/>
    <w:rsid w:val="00F061EB"/>
    <w:rsid w:val="00F06396"/>
    <w:rsid w:val="00F06408"/>
    <w:rsid w:val="00F06965"/>
    <w:rsid w:val="00F070B4"/>
    <w:rsid w:val="00F075F9"/>
    <w:rsid w:val="00F07649"/>
    <w:rsid w:val="00F076DF"/>
    <w:rsid w:val="00F07B85"/>
    <w:rsid w:val="00F07F5F"/>
    <w:rsid w:val="00F10054"/>
    <w:rsid w:val="00F100D5"/>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8AA"/>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2EC"/>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2E51"/>
    <w:rsid w:val="00F2327A"/>
    <w:rsid w:val="00F2343B"/>
    <w:rsid w:val="00F234A6"/>
    <w:rsid w:val="00F23634"/>
    <w:rsid w:val="00F23686"/>
    <w:rsid w:val="00F23B3C"/>
    <w:rsid w:val="00F23B84"/>
    <w:rsid w:val="00F23C69"/>
    <w:rsid w:val="00F23E11"/>
    <w:rsid w:val="00F23EED"/>
    <w:rsid w:val="00F24101"/>
    <w:rsid w:val="00F241FF"/>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593"/>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81D"/>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0E71"/>
    <w:rsid w:val="00F5113B"/>
    <w:rsid w:val="00F51393"/>
    <w:rsid w:val="00F51621"/>
    <w:rsid w:val="00F51742"/>
    <w:rsid w:val="00F51BCE"/>
    <w:rsid w:val="00F51BF4"/>
    <w:rsid w:val="00F51E85"/>
    <w:rsid w:val="00F521AF"/>
    <w:rsid w:val="00F52407"/>
    <w:rsid w:val="00F527DD"/>
    <w:rsid w:val="00F52B51"/>
    <w:rsid w:val="00F52CC9"/>
    <w:rsid w:val="00F52DD3"/>
    <w:rsid w:val="00F52E24"/>
    <w:rsid w:val="00F52F1A"/>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7C6"/>
    <w:rsid w:val="00F61810"/>
    <w:rsid w:val="00F618E9"/>
    <w:rsid w:val="00F6191E"/>
    <w:rsid w:val="00F61C72"/>
    <w:rsid w:val="00F6208A"/>
    <w:rsid w:val="00F625CD"/>
    <w:rsid w:val="00F625EB"/>
    <w:rsid w:val="00F6288A"/>
    <w:rsid w:val="00F6296B"/>
    <w:rsid w:val="00F62E86"/>
    <w:rsid w:val="00F63205"/>
    <w:rsid w:val="00F632A8"/>
    <w:rsid w:val="00F633D3"/>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995"/>
    <w:rsid w:val="00F65CEF"/>
    <w:rsid w:val="00F65E90"/>
    <w:rsid w:val="00F65EDB"/>
    <w:rsid w:val="00F66577"/>
    <w:rsid w:val="00F667FF"/>
    <w:rsid w:val="00F66E65"/>
    <w:rsid w:val="00F66ECA"/>
    <w:rsid w:val="00F66FBD"/>
    <w:rsid w:val="00F66FF8"/>
    <w:rsid w:val="00F670E4"/>
    <w:rsid w:val="00F6711E"/>
    <w:rsid w:val="00F67569"/>
    <w:rsid w:val="00F6756E"/>
    <w:rsid w:val="00F67AA2"/>
    <w:rsid w:val="00F67C3E"/>
    <w:rsid w:val="00F67CD9"/>
    <w:rsid w:val="00F67D67"/>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70A"/>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BE4"/>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70C"/>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D1A"/>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29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590"/>
    <w:rsid w:val="00FC1647"/>
    <w:rsid w:val="00FC1755"/>
    <w:rsid w:val="00FC1853"/>
    <w:rsid w:val="00FC21C4"/>
    <w:rsid w:val="00FC223A"/>
    <w:rsid w:val="00FC245F"/>
    <w:rsid w:val="00FC272C"/>
    <w:rsid w:val="00FC29D0"/>
    <w:rsid w:val="00FC330E"/>
    <w:rsid w:val="00FC354F"/>
    <w:rsid w:val="00FC3631"/>
    <w:rsid w:val="00FC39A4"/>
    <w:rsid w:val="00FC4462"/>
    <w:rsid w:val="00FC4BFC"/>
    <w:rsid w:val="00FC4C65"/>
    <w:rsid w:val="00FC4DD3"/>
    <w:rsid w:val="00FC4EE3"/>
    <w:rsid w:val="00FC4F58"/>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3F59"/>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95E"/>
    <w:rsid w:val="00FF6E3C"/>
    <w:rsid w:val="00FF721C"/>
    <w:rsid w:val="00FF7362"/>
    <w:rsid w:val="00FF782D"/>
    <w:rsid w:val="00FF7893"/>
    <w:rsid w:val="00FF7A30"/>
    <w:rsid w:val="00FF7BA1"/>
    <w:rsid w:val="00FF7CEE"/>
    <w:rsid w:val="00FF7D22"/>
    <w:rsid w:val="0103450B"/>
    <w:rsid w:val="010419D4"/>
    <w:rsid w:val="01041CD0"/>
    <w:rsid w:val="010D1BDD"/>
    <w:rsid w:val="010E17BF"/>
    <w:rsid w:val="01115C89"/>
    <w:rsid w:val="011A3D82"/>
    <w:rsid w:val="01222B27"/>
    <w:rsid w:val="01237DE4"/>
    <w:rsid w:val="012710B7"/>
    <w:rsid w:val="012B76D9"/>
    <w:rsid w:val="012E3D59"/>
    <w:rsid w:val="012E78A0"/>
    <w:rsid w:val="01312F4E"/>
    <w:rsid w:val="0132297F"/>
    <w:rsid w:val="013340AD"/>
    <w:rsid w:val="01365E80"/>
    <w:rsid w:val="01384A19"/>
    <w:rsid w:val="013C501C"/>
    <w:rsid w:val="013D170F"/>
    <w:rsid w:val="013D4FA6"/>
    <w:rsid w:val="01457166"/>
    <w:rsid w:val="01465BCB"/>
    <w:rsid w:val="014F6547"/>
    <w:rsid w:val="0151223B"/>
    <w:rsid w:val="015602B3"/>
    <w:rsid w:val="01592BEE"/>
    <w:rsid w:val="015B413C"/>
    <w:rsid w:val="01657634"/>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84163D"/>
    <w:rsid w:val="018446AC"/>
    <w:rsid w:val="018F7662"/>
    <w:rsid w:val="01900C09"/>
    <w:rsid w:val="01942B77"/>
    <w:rsid w:val="019B60BC"/>
    <w:rsid w:val="019D62DE"/>
    <w:rsid w:val="019F2AB2"/>
    <w:rsid w:val="01A17E36"/>
    <w:rsid w:val="01A761C0"/>
    <w:rsid w:val="01A96AA0"/>
    <w:rsid w:val="01AA0986"/>
    <w:rsid w:val="01B749D8"/>
    <w:rsid w:val="01B91B37"/>
    <w:rsid w:val="01C45A13"/>
    <w:rsid w:val="01C64B4C"/>
    <w:rsid w:val="01C75A29"/>
    <w:rsid w:val="01C9044A"/>
    <w:rsid w:val="01C95D65"/>
    <w:rsid w:val="01C96560"/>
    <w:rsid w:val="01C97249"/>
    <w:rsid w:val="01CD5F6F"/>
    <w:rsid w:val="01D02B63"/>
    <w:rsid w:val="01D55471"/>
    <w:rsid w:val="01D775BA"/>
    <w:rsid w:val="01D91D17"/>
    <w:rsid w:val="01DF6E38"/>
    <w:rsid w:val="01E31EAE"/>
    <w:rsid w:val="01E3231C"/>
    <w:rsid w:val="01E46767"/>
    <w:rsid w:val="01E7337E"/>
    <w:rsid w:val="01ED0BA3"/>
    <w:rsid w:val="01F129DB"/>
    <w:rsid w:val="01F139C2"/>
    <w:rsid w:val="01F204FF"/>
    <w:rsid w:val="01F573B1"/>
    <w:rsid w:val="01F70513"/>
    <w:rsid w:val="01F91369"/>
    <w:rsid w:val="01FD0A52"/>
    <w:rsid w:val="01FD363E"/>
    <w:rsid w:val="020012D6"/>
    <w:rsid w:val="02070D9C"/>
    <w:rsid w:val="020A55DB"/>
    <w:rsid w:val="020A7FD5"/>
    <w:rsid w:val="020B3BFF"/>
    <w:rsid w:val="021038F9"/>
    <w:rsid w:val="0211297E"/>
    <w:rsid w:val="02135E22"/>
    <w:rsid w:val="02180D49"/>
    <w:rsid w:val="021A2B4F"/>
    <w:rsid w:val="021F2A81"/>
    <w:rsid w:val="021F5861"/>
    <w:rsid w:val="0224389C"/>
    <w:rsid w:val="0226507C"/>
    <w:rsid w:val="02265948"/>
    <w:rsid w:val="02265E7F"/>
    <w:rsid w:val="02267F81"/>
    <w:rsid w:val="02287677"/>
    <w:rsid w:val="022C66E1"/>
    <w:rsid w:val="022E1C38"/>
    <w:rsid w:val="022E53C2"/>
    <w:rsid w:val="022F071D"/>
    <w:rsid w:val="02324760"/>
    <w:rsid w:val="02355D01"/>
    <w:rsid w:val="023A12BC"/>
    <w:rsid w:val="023A7E40"/>
    <w:rsid w:val="023B1EEB"/>
    <w:rsid w:val="023B28B4"/>
    <w:rsid w:val="023D69A0"/>
    <w:rsid w:val="023F46B5"/>
    <w:rsid w:val="02410A4C"/>
    <w:rsid w:val="024518A8"/>
    <w:rsid w:val="0246028C"/>
    <w:rsid w:val="024B3DD6"/>
    <w:rsid w:val="024D3362"/>
    <w:rsid w:val="02525FDE"/>
    <w:rsid w:val="02541C6A"/>
    <w:rsid w:val="025570C2"/>
    <w:rsid w:val="02566964"/>
    <w:rsid w:val="02572AC2"/>
    <w:rsid w:val="0258068C"/>
    <w:rsid w:val="025F6C83"/>
    <w:rsid w:val="0266047F"/>
    <w:rsid w:val="026B4AEA"/>
    <w:rsid w:val="026B7DDD"/>
    <w:rsid w:val="026D04CC"/>
    <w:rsid w:val="026F3AA2"/>
    <w:rsid w:val="02746FAE"/>
    <w:rsid w:val="0278020E"/>
    <w:rsid w:val="0278630D"/>
    <w:rsid w:val="027B658C"/>
    <w:rsid w:val="027E61C3"/>
    <w:rsid w:val="027F3306"/>
    <w:rsid w:val="02816D9C"/>
    <w:rsid w:val="02831C33"/>
    <w:rsid w:val="02875AD4"/>
    <w:rsid w:val="028E5CAB"/>
    <w:rsid w:val="028F4EA5"/>
    <w:rsid w:val="029002E5"/>
    <w:rsid w:val="02975D53"/>
    <w:rsid w:val="029C4A47"/>
    <w:rsid w:val="029F4866"/>
    <w:rsid w:val="02A91846"/>
    <w:rsid w:val="02AA0975"/>
    <w:rsid w:val="02B13762"/>
    <w:rsid w:val="02B16CDA"/>
    <w:rsid w:val="02B2472A"/>
    <w:rsid w:val="02B26CE8"/>
    <w:rsid w:val="02BA5B1F"/>
    <w:rsid w:val="02BF6AE2"/>
    <w:rsid w:val="02C51CD5"/>
    <w:rsid w:val="02C81E79"/>
    <w:rsid w:val="02CE2BA4"/>
    <w:rsid w:val="02D0642C"/>
    <w:rsid w:val="02D127EF"/>
    <w:rsid w:val="02D3066A"/>
    <w:rsid w:val="02D47EB6"/>
    <w:rsid w:val="02D52216"/>
    <w:rsid w:val="02D57C10"/>
    <w:rsid w:val="02D85F39"/>
    <w:rsid w:val="02E14FCB"/>
    <w:rsid w:val="02E241B2"/>
    <w:rsid w:val="02E5740B"/>
    <w:rsid w:val="02E75E46"/>
    <w:rsid w:val="02EC5024"/>
    <w:rsid w:val="02EE5B04"/>
    <w:rsid w:val="02EF5A5A"/>
    <w:rsid w:val="02F060F1"/>
    <w:rsid w:val="02F16096"/>
    <w:rsid w:val="02F17425"/>
    <w:rsid w:val="02F33215"/>
    <w:rsid w:val="02F46D5B"/>
    <w:rsid w:val="02F93CBD"/>
    <w:rsid w:val="02FC269F"/>
    <w:rsid w:val="02FE7D30"/>
    <w:rsid w:val="03065B75"/>
    <w:rsid w:val="03066EAE"/>
    <w:rsid w:val="0307267F"/>
    <w:rsid w:val="03097D09"/>
    <w:rsid w:val="030B3095"/>
    <w:rsid w:val="030D3E9D"/>
    <w:rsid w:val="030D51A2"/>
    <w:rsid w:val="030E51E7"/>
    <w:rsid w:val="03165F9B"/>
    <w:rsid w:val="031A545F"/>
    <w:rsid w:val="031A6258"/>
    <w:rsid w:val="031C4DF2"/>
    <w:rsid w:val="031D6CAB"/>
    <w:rsid w:val="031F008D"/>
    <w:rsid w:val="031F20D4"/>
    <w:rsid w:val="03230A77"/>
    <w:rsid w:val="0326186D"/>
    <w:rsid w:val="03261A38"/>
    <w:rsid w:val="03273DA2"/>
    <w:rsid w:val="03286A99"/>
    <w:rsid w:val="032A509F"/>
    <w:rsid w:val="03334938"/>
    <w:rsid w:val="0333596C"/>
    <w:rsid w:val="0337023B"/>
    <w:rsid w:val="033912FE"/>
    <w:rsid w:val="03394321"/>
    <w:rsid w:val="033A0108"/>
    <w:rsid w:val="03406AD4"/>
    <w:rsid w:val="03434A2C"/>
    <w:rsid w:val="0346496D"/>
    <w:rsid w:val="034938C7"/>
    <w:rsid w:val="034B5597"/>
    <w:rsid w:val="034E4F0F"/>
    <w:rsid w:val="034F290D"/>
    <w:rsid w:val="03513AB2"/>
    <w:rsid w:val="035279F8"/>
    <w:rsid w:val="03530D55"/>
    <w:rsid w:val="035621D6"/>
    <w:rsid w:val="035936E8"/>
    <w:rsid w:val="035A6727"/>
    <w:rsid w:val="035F2C63"/>
    <w:rsid w:val="0360437B"/>
    <w:rsid w:val="036C07D2"/>
    <w:rsid w:val="03703F22"/>
    <w:rsid w:val="03730F28"/>
    <w:rsid w:val="03747430"/>
    <w:rsid w:val="03754E7D"/>
    <w:rsid w:val="03826E5C"/>
    <w:rsid w:val="03830359"/>
    <w:rsid w:val="03851985"/>
    <w:rsid w:val="03892991"/>
    <w:rsid w:val="03895569"/>
    <w:rsid w:val="038C02EB"/>
    <w:rsid w:val="038C7CCA"/>
    <w:rsid w:val="038E2E18"/>
    <w:rsid w:val="038F1DC9"/>
    <w:rsid w:val="039545AE"/>
    <w:rsid w:val="03995C8A"/>
    <w:rsid w:val="03A2258B"/>
    <w:rsid w:val="03A3285A"/>
    <w:rsid w:val="03A746C2"/>
    <w:rsid w:val="03AA39FA"/>
    <w:rsid w:val="03AD0569"/>
    <w:rsid w:val="03AE35CB"/>
    <w:rsid w:val="03B160FC"/>
    <w:rsid w:val="03B51332"/>
    <w:rsid w:val="03B85350"/>
    <w:rsid w:val="03B85470"/>
    <w:rsid w:val="03B865F3"/>
    <w:rsid w:val="03BA4249"/>
    <w:rsid w:val="03BD598A"/>
    <w:rsid w:val="03C5452E"/>
    <w:rsid w:val="03C74561"/>
    <w:rsid w:val="03CC33A8"/>
    <w:rsid w:val="03CE5373"/>
    <w:rsid w:val="03D11A1D"/>
    <w:rsid w:val="03D36E09"/>
    <w:rsid w:val="03D61EA0"/>
    <w:rsid w:val="03DD5EBD"/>
    <w:rsid w:val="03E23352"/>
    <w:rsid w:val="03E5356B"/>
    <w:rsid w:val="03E54BD6"/>
    <w:rsid w:val="03E65352"/>
    <w:rsid w:val="03E82126"/>
    <w:rsid w:val="03ED6EFB"/>
    <w:rsid w:val="03EF0887"/>
    <w:rsid w:val="03F074A1"/>
    <w:rsid w:val="03F8458A"/>
    <w:rsid w:val="040205B6"/>
    <w:rsid w:val="040562E0"/>
    <w:rsid w:val="04090A85"/>
    <w:rsid w:val="040B23D6"/>
    <w:rsid w:val="041203F0"/>
    <w:rsid w:val="04132C1A"/>
    <w:rsid w:val="04181433"/>
    <w:rsid w:val="041A619B"/>
    <w:rsid w:val="041F7456"/>
    <w:rsid w:val="04215E85"/>
    <w:rsid w:val="04221D1F"/>
    <w:rsid w:val="0424090B"/>
    <w:rsid w:val="04245D54"/>
    <w:rsid w:val="04272B17"/>
    <w:rsid w:val="04291C59"/>
    <w:rsid w:val="042A2F90"/>
    <w:rsid w:val="042A3EB0"/>
    <w:rsid w:val="042F251E"/>
    <w:rsid w:val="043020F0"/>
    <w:rsid w:val="04317277"/>
    <w:rsid w:val="04347E7A"/>
    <w:rsid w:val="04377E4A"/>
    <w:rsid w:val="043E331E"/>
    <w:rsid w:val="043E79D1"/>
    <w:rsid w:val="043F33DB"/>
    <w:rsid w:val="04403E84"/>
    <w:rsid w:val="044415A9"/>
    <w:rsid w:val="0445405A"/>
    <w:rsid w:val="044935AB"/>
    <w:rsid w:val="044A1114"/>
    <w:rsid w:val="044A5026"/>
    <w:rsid w:val="044B15E2"/>
    <w:rsid w:val="044C008C"/>
    <w:rsid w:val="04526600"/>
    <w:rsid w:val="04552E83"/>
    <w:rsid w:val="04580ED4"/>
    <w:rsid w:val="04594B8D"/>
    <w:rsid w:val="045A45AE"/>
    <w:rsid w:val="045B002B"/>
    <w:rsid w:val="045C42BD"/>
    <w:rsid w:val="045C6B01"/>
    <w:rsid w:val="04616CCB"/>
    <w:rsid w:val="046B7F0E"/>
    <w:rsid w:val="046D380D"/>
    <w:rsid w:val="046F363B"/>
    <w:rsid w:val="0470177E"/>
    <w:rsid w:val="047630EA"/>
    <w:rsid w:val="047716A9"/>
    <w:rsid w:val="04792D6D"/>
    <w:rsid w:val="047A5CC3"/>
    <w:rsid w:val="047A6EEE"/>
    <w:rsid w:val="047B61AF"/>
    <w:rsid w:val="047E34CF"/>
    <w:rsid w:val="047E4363"/>
    <w:rsid w:val="047F7D16"/>
    <w:rsid w:val="04807F19"/>
    <w:rsid w:val="04811266"/>
    <w:rsid w:val="048436E2"/>
    <w:rsid w:val="048620AA"/>
    <w:rsid w:val="048628E1"/>
    <w:rsid w:val="04872D93"/>
    <w:rsid w:val="048A0107"/>
    <w:rsid w:val="048D6A5B"/>
    <w:rsid w:val="048D7937"/>
    <w:rsid w:val="048E636B"/>
    <w:rsid w:val="049238A5"/>
    <w:rsid w:val="049A4FCE"/>
    <w:rsid w:val="049B0E6A"/>
    <w:rsid w:val="049F0633"/>
    <w:rsid w:val="04A45AE7"/>
    <w:rsid w:val="04A633D7"/>
    <w:rsid w:val="04A723B6"/>
    <w:rsid w:val="04AA516E"/>
    <w:rsid w:val="04AB4FEC"/>
    <w:rsid w:val="04AC40A6"/>
    <w:rsid w:val="04AD4B8B"/>
    <w:rsid w:val="04AD6D76"/>
    <w:rsid w:val="04B52053"/>
    <w:rsid w:val="04B535C1"/>
    <w:rsid w:val="04B6096F"/>
    <w:rsid w:val="04B70BE9"/>
    <w:rsid w:val="04B7478B"/>
    <w:rsid w:val="04BE27CE"/>
    <w:rsid w:val="04BF64DB"/>
    <w:rsid w:val="04C33D85"/>
    <w:rsid w:val="04C3481C"/>
    <w:rsid w:val="04C8060F"/>
    <w:rsid w:val="04C92CF0"/>
    <w:rsid w:val="04CB2A3C"/>
    <w:rsid w:val="04CB390F"/>
    <w:rsid w:val="04D00F77"/>
    <w:rsid w:val="04D27C15"/>
    <w:rsid w:val="04D459FA"/>
    <w:rsid w:val="04D5749D"/>
    <w:rsid w:val="04D65189"/>
    <w:rsid w:val="04DE64A7"/>
    <w:rsid w:val="04DF1F7C"/>
    <w:rsid w:val="04DF660E"/>
    <w:rsid w:val="04E211D4"/>
    <w:rsid w:val="04EC7074"/>
    <w:rsid w:val="04F175EE"/>
    <w:rsid w:val="04F8221A"/>
    <w:rsid w:val="04FC5709"/>
    <w:rsid w:val="04FE5CA5"/>
    <w:rsid w:val="04FE691C"/>
    <w:rsid w:val="050A5317"/>
    <w:rsid w:val="050B0A31"/>
    <w:rsid w:val="050E0C3D"/>
    <w:rsid w:val="051B5E2D"/>
    <w:rsid w:val="051D7898"/>
    <w:rsid w:val="05200F3F"/>
    <w:rsid w:val="0520754F"/>
    <w:rsid w:val="052636CF"/>
    <w:rsid w:val="052E2209"/>
    <w:rsid w:val="05314D9F"/>
    <w:rsid w:val="053D7D2A"/>
    <w:rsid w:val="053E22E8"/>
    <w:rsid w:val="0547797B"/>
    <w:rsid w:val="05487806"/>
    <w:rsid w:val="054B1AB2"/>
    <w:rsid w:val="054B2C58"/>
    <w:rsid w:val="05511679"/>
    <w:rsid w:val="05516AAD"/>
    <w:rsid w:val="05520B1B"/>
    <w:rsid w:val="0554794C"/>
    <w:rsid w:val="05553DD0"/>
    <w:rsid w:val="05554DD8"/>
    <w:rsid w:val="05572874"/>
    <w:rsid w:val="05580B32"/>
    <w:rsid w:val="05583F7B"/>
    <w:rsid w:val="055B0206"/>
    <w:rsid w:val="0561255E"/>
    <w:rsid w:val="05653A02"/>
    <w:rsid w:val="05683D1A"/>
    <w:rsid w:val="05684E01"/>
    <w:rsid w:val="056B7F67"/>
    <w:rsid w:val="05700CFA"/>
    <w:rsid w:val="05713D4A"/>
    <w:rsid w:val="057556DA"/>
    <w:rsid w:val="05763EF9"/>
    <w:rsid w:val="057918B2"/>
    <w:rsid w:val="05791F63"/>
    <w:rsid w:val="0579226F"/>
    <w:rsid w:val="05795269"/>
    <w:rsid w:val="057B1931"/>
    <w:rsid w:val="057E0FD7"/>
    <w:rsid w:val="057F4A54"/>
    <w:rsid w:val="058236CD"/>
    <w:rsid w:val="058400FB"/>
    <w:rsid w:val="0586618C"/>
    <w:rsid w:val="0588547E"/>
    <w:rsid w:val="05896073"/>
    <w:rsid w:val="058B7A00"/>
    <w:rsid w:val="058D1883"/>
    <w:rsid w:val="058E331A"/>
    <w:rsid w:val="058F627E"/>
    <w:rsid w:val="05923A93"/>
    <w:rsid w:val="05941672"/>
    <w:rsid w:val="05971699"/>
    <w:rsid w:val="059B236F"/>
    <w:rsid w:val="059B32A7"/>
    <w:rsid w:val="059E3691"/>
    <w:rsid w:val="059F5D9C"/>
    <w:rsid w:val="05A558D5"/>
    <w:rsid w:val="05B01DD1"/>
    <w:rsid w:val="05B35812"/>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83846"/>
    <w:rsid w:val="05DA061C"/>
    <w:rsid w:val="05DB101D"/>
    <w:rsid w:val="05DD68CC"/>
    <w:rsid w:val="05E31D83"/>
    <w:rsid w:val="05E3775E"/>
    <w:rsid w:val="05E4645B"/>
    <w:rsid w:val="05E51DC0"/>
    <w:rsid w:val="05E6321E"/>
    <w:rsid w:val="05E80906"/>
    <w:rsid w:val="05EB44AF"/>
    <w:rsid w:val="05EF38C1"/>
    <w:rsid w:val="05F04C76"/>
    <w:rsid w:val="05F23FCE"/>
    <w:rsid w:val="05F4677F"/>
    <w:rsid w:val="06021705"/>
    <w:rsid w:val="06030997"/>
    <w:rsid w:val="0607348B"/>
    <w:rsid w:val="06087B12"/>
    <w:rsid w:val="06094354"/>
    <w:rsid w:val="060A1D09"/>
    <w:rsid w:val="060A546B"/>
    <w:rsid w:val="060A57DB"/>
    <w:rsid w:val="061140D1"/>
    <w:rsid w:val="06143280"/>
    <w:rsid w:val="06161D00"/>
    <w:rsid w:val="061B1C21"/>
    <w:rsid w:val="061B43B8"/>
    <w:rsid w:val="061D6A4B"/>
    <w:rsid w:val="06223199"/>
    <w:rsid w:val="0622488F"/>
    <w:rsid w:val="06226AA3"/>
    <w:rsid w:val="06263DE9"/>
    <w:rsid w:val="06272BE3"/>
    <w:rsid w:val="062A0521"/>
    <w:rsid w:val="062B7408"/>
    <w:rsid w:val="062C1EC6"/>
    <w:rsid w:val="062D57CC"/>
    <w:rsid w:val="062F16FB"/>
    <w:rsid w:val="062F75DA"/>
    <w:rsid w:val="06357C71"/>
    <w:rsid w:val="06373C35"/>
    <w:rsid w:val="06380DC9"/>
    <w:rsid w:val="063A7EE3"/>
    <w:rsid w:val="063E7244"/>
    <w:rsid w:val="0641290B"/>
    <w:rsid w:val="06423400"/>
    <w:rsid w:val="0642499B"/>
    <w:rsid w:val="06434F8E"/>
    <w:rsid w:val="064469F8"/>
    <w:rsid w:val="06494B98"/>
    <w:rsid w:val="06512DD0"/>
    <w:rsid w:val="06520157"/>
    <w:rsid w:val="06556880"/>
    <w:rsid w:val="06594ACC"/>
    <w:rsid w:val="065E23F5"/>
    <w:rsid w:val="065F0CB5"/>
    <w:rsid w:val="066625CB"/>
    <w:rsid w:val="06662E0F"/>
    <w:rsid w:val="06671A53"/>
    <w:rsid w:val="06673295"/>
    <w:rsid w:val="0668138B"/>
    <w:rsid w:val="06686D4D"/>
    <w:rsid w:val="067458C8"/>
    <w:rsid w:val="06761D10"/>
    <w:rsid w:val="06787FB1"/>
    <w:rsid w:val="0679679D"/>
    <w:rsid w:val="067C70F8"/>
    <w:rsid w:val="067E02A9"/>
    <w:rsid w:val="067E49F6"/>
    <w:rsid w:val="067F3FA8"/>
    <w:rsid w:val="068F2552"/>
    <w:rsid w:val="069142D7"/>
    <w:rsid w:val="069154D1"/>
    <w:rsid w:val="069202AE"/>
    <w:rsid w:val="06973A22"/>
    <w:rsid w:val="069A134E"/>
    <w:rsid w:val="069B73E9"/>
    <w:rsid w:val="069D55D6"/>
    <w:rsid w:val="069F7B0E"/>
    <w:rsid w:val="06A12BB8"/>
    <w:rsid w:val="06A354BF"/>
    <w:rsid w:val="06A52641"/>
    <w:rsid w:val="06A56623"/>
    <w:rsid w:val="06A6028D"/>
    <w:rsid w:val="06A67127"/>
    <w:rsid w:val="06A6721A"/>
    <w:rsid w:val="06A903D1"/>
    <w:rsid w:val="06AB7BCF"/>
    <w:rsid w:val="06AC48B7"/>
    <w:rsid w:val="06AF2646"/>
    <w:rsid w:val="06B277C2"/>
    <w:rsid w:val="06B36660"/>
    <w:rsid w:val="06B36F46"/>
    <w:rsid w:val="06B827CC"/>
    <w:rsid w:val="06BD4549"/>
    <w:rsid w:val="06BF4E14"/>
    <w:rsid w:val="06C16B51"/>
    <w:rsid w:val="06C40DFB"/>
    <w:rsid w:val="06C54D8A"/>
    <w:rsid w:val="06C648B1"/>
    <w:rsid w:val="06CC0115"/>
    <w:rsid w:val="06CF35BD"/>
    <w:rsid w:val="06D42797"/>
    <w:rsid w:val="06D51C0F"/>
    <w:rsid w:val="06DC01AD"/>
    <w:rsid w:val="06E3593C"/>
    <w:rsid w:val="06E4414A"/>
    <w:rsid w:val="06E700FE"/>
    <w:rsid w:val="06E84D75"/>
    <w:rsid w:val="06EA4BF3"/>
    <w:rsid w:val="06EB2F6E"/>
    <w:rsid w:val="06EF52F3"/>
    <w:rsid w:val="06F01D0C"/>
    <w:rsid w:val="06F435BD"/>
    <w:rsid w:val="06F55AAE"/>
    <w:rsid w:val="06F8549F"/>
    <w:rsid w:val="06FA4F05"/>
    <w:rsid w:val="06FC1F4A"/>
    <w:rsid w:val="07052B96"/>
    <w:rsid w:val="070906C4"/>
    <w:rsid w:val="0709430B"/>
    <w:rsid w:val="070D75F4"/>
    <w:rsid w:val="070E174D"/>
    <w:rsid w:val="07114B7A"/>
    <w:rsid w:val="071560AD"/>
    <w:rsid w:val="07170508"/>
    <w:rsid w:val="07172033"/>
    <w:rsid w:val="071809C8"/>
    <w:rsid w:val="07186D56"/>
    <w:rsid w:val="071A2DAB"/>
    <w:rsid w:val="071C5C7C"/>
    <w:rsid w:val="0721733B"/>
    <w:rsid w:val="07234A6A"/>
    <w:rsid w:val="07251E9C"/>
    <w:rsid w:val="07261619"/>
    <w:rsid w:val="0726212A"/>
    <w:rsid w:val="072B2FCC"/>
    <w:rsid w:val="072D1D94"/>
    <w:rsid w:val="07315E87"/>
    <w:rsid w:val="073163EC"/>
    <w:rsid w:val="073778E7"/>
    <w:rsid w:val="073805A8"/>
    <w:rsid w:val="073D520A"/>
    <w:rsid w:val="073F73B5"/>
    <w:rsid w:val="073F7F46"/>
    <w:rsid w:val="07465E04"/>
    <w:rsid w:val="074D0D08"/>
    <w:rsid w:val="075453F9"/>
    <w:rsid w:val="075B498A"/>
    <w:rsid w:val="075E3155"/>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1135A"/>
    <w:rsid w:val="07853698"/>
    <w:rsid w:val="07963CE1"/>
    <w:rsid w:val="07996370"/>
    <w:rsid w:val="079B1264"/>
    <w:rsid w:val="079D08EF"/>
    <w:rsid w:val="07A23DBE"/>
    <w:rsid w:val="07A33C2D"/>
    <w:rsid w:val="07A51428"/>
    <w:rsid w:val="07A5163C"/>
    <w:rsid w:val="07A64C98"/>
    <w:rsid w:val="07A94019"/>
    <w:rsid w:val="07AB3A30"/>
    <w:rsid w:val="07BC2EEE"/>
    <w:rsid w:val="07BE370F"/>
    <w:rsid w:val="07C019DD"/>
    <w:rsid w:val="07C14B9B"/>
    <w:rsid w:val="07C45A94"/>
    <w:rsid w:val="07C61F88"/>
    <w:rsid w:val="07C63350"/>
    <w:rsid w:val="07C864F2"/>
    <w:rsid w:val="07C87270"/>
    <w:rsid w:val="07C87DCC"/>
    <w:rsid w:val="07C92F3E"/>
    <w:rsid w:val="07CA4DA3"/>
    <w:rsid w:val="07CB0BFE"/>
    <w:rsid w:val="07CB4F81"/>
    <w:rsid w:val="07D05F75"/>
    <w:rsid w:val="07D24E2A"/>
    <w:rsid w:val="07D9133A"/>
    <w:rsid w:val="07DB7CB4"/>
    <w:rsid w:val="07DC2AF3"/>
    <w:rsid w:val="07E12A07"/>
    <w:rsid w:val="07E7227A"/>
    <w:rsid w:val="07E80F0B"/>
    <w:rsid w:val="07E85037"/>
    <w:rsid w:val="07E9276D"/>
    <w:rsid w:val="07E9446A"/>
    <w:rsid w:val="07EA3399"/>
    <w:rsid w:val="07EC19F5"/>
    <w:rsid w:val="07ED207A"/>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54241"/>
    <w:rsid w:val="081808AB"/>
    <w:rsid w:val="08180975"/>
    <w:rsid w:val="08191E7B"/>
    <w:rsid w:val="08197B18"/>
    <w:rsid w:val="08222CC0"/>
    <w:rsid w:val="08225938"/>
    <w:rsid w:val="082325E8"/>
    <w:rsid w:val="08272A1D"/>
    <w:rsid w:val="08284F7F"/>
    <w:rsid w:val="08285AE5"/>
    <w:rsid w:val="082D3394"/>
    <w:rsid w:val="08307C61"/>
    <w:rsid w:val="0831305B"/>
    <w:rsid w:val="08344B4D"/>
    <w:rsid w:val="08356708"/>
    <w:rsid w:val="08360E3F"/>
    <w:rsid w:val="08367F19"/>
    <w:rsid w:val="083701FE"/>
    <w:rsid w:val="083B4289"/>
    <w:rsid w:val="083B7813"/>
    <w:rsid w:val="083C682C"/>
    <w:rsid w:val="083D07E0"/>
    <w:rsid w:val="08416468"/>
    <w:rsid w:val="084216D3"/>
    <w:rsid w:val="084518E0"/>
    <w:rsid w:val="08456538"/>
    <w:rsid w:val="084A6B6B"/>
    <w:rsid w:val="084D265F"/>
    <w:rsid w:val="08511A32"/>
    <w:rsid w:val="08554DE1"/>
    <w:rsid w:val="085920FB"/>
    <w:rsid w:val="085927D7"/>
    <w:rsid w:val="08594EDF"/>
    <w:rsid w:val="085B296F"/>
    <w:rsid w:val="085D6B8B"/>
    <w:rsid w:val="085F2FD6"/>
    <w:rsid w:val="086121FE"/>
    <w:rsid w:val="08614575"/>
    <w:rsid w:val="086871E2"/>
    <w:rsid w:val="086B2DB5"/>
    <w:rsid w:val="086B5DA6"/>
    <w:rsid w:val="086C1B39"/>
    <w:rsid w:val="086C2511"/>
    <w:rsid w:val="08754A81"/>
    <w:rsid w:val="08760451"/>
    <w:rsid w:val="087B70D7"/>
    <w:rsid w:val="087B7B82"/>
    <w:rsid w:val="088376E1"/>
    <w:rsid w:val="08864EC5"/>
    <w:rsid w:val="089337FA"/>
    <w:rsid w:val="089557FC"/>
    <w:rsid w:val="08980BAB"/>
    <w:rsid w:val="089E1341"/>
    <w:rsid w:val="089E33C1"/>
    <w:rsid w:val="08A352D2"/>
    <w:rsid w:val="08A44F08"/>
    <w:rsid w:val="08A5384E"/>
    <w:rsid w:val="08A54FD5"/>
    <w:rsid w:val="08AA5BF5"/>
    <w:rsid w:val="08AB6F81"/>
    <w:rsid w:val="08B14555"/>
    <w:rsid w:val="08B97EF6"/>
    <w:rsid w:val="08C24EFE"/>
    <w:rsid w:val="08C41E8D"/>
    <w:rsid w:val="08C8577F"/>
    <w:rsid w:val="08C97AC5"/>
    <w:rsid w:val="08CF4392"/>
    <w:rsid w:val="08D03E25"/>
    <w:rsid w:val="08D4146B"/>
    <w:rsid w:val="08D43B32"/>
    <w:rsid w:val="08D52288"/>
    <w:rsid w:val="08D70745"/>
    <w:rsid w:val="08D924A9"/>
    <w:rsid w:val="08DA3FA8"/>
    <w:rsid w:val="08DD79C0"/>
    <w:rsid w:val="08E06DCA"/>
    <w:rsid w:val="08E17B00"/>
    <w:rsid w:val="08E37B78"/>
    <w:rsid w:val="08E875DC"/>
    <w:rsid w:val="08E927DA"/>
    <w:rsid w:val="08EA62FC"/>
    <w:rsid w:val="08EB59F0"/>
    <w:rsid w:val="08F006FC"/>
    <w:rsid w:val="08F715DB"/>
    <w:rsid w:val="08F83C2B"/>
    <w:rsid w:val="08F930E6"/>
    <w:rsid w:val="08FB0136"/>
    <w:rsid w:val="08FB11EE"/>
    <w:rsid w:val="08FF6821"/>
    <w:rsid w:val="090002E4"/>
    <w:rsid w:val="09004BA2"/>
    <w:rsid w:val="090314D9"/>
    <w:rsid w:val="0904419D"/>
    <w:rsid w:val="09085911"/>
    <w:rsid w:val="09093B8E"/>
    <w:rsid w:val="090B4BFA"/>
    <w:rsid w:val="090E5E0E"/>
    <w:rsid w:val="09121B95"/>
    <w:rsid w:val="09167DC6"/>
    <w:rsid w:val="0918650F"/>
    <w:rsid w:val="092141FC"/>
    <w:rsid w:val="09233A88"/>
    <w:rsid w:val="09256F9F"/>
    <w:rsid w:val="0926699A"/>
    <w:rsid w:val="092A6DE7"/>
    <w:rsid w:val="092D43FA"/>
    <w:rsid w:val="092D4F1C"/>
    <w:rsid w:val="09336891"/>
    <w:rsid w:val="093677EB"/>
    <w:rsid w:val="093A5A26"/>
    <w:rsid w:val="093B5A8B"/>
    <w:rsid w:val="093D0096"/>
    <w:rsid w:val="093D5FDF"/>
    <w:rsid w:val="094567E4"/>
    <w:rsid w:val="0946195E"/>
    <w:rsid w:val="0946305C"/>
    <w:rsid w:val="09493002"/>
    <w:rsid w:val="094C661F"/>
    <w:rsid w:val="094E0A67"/>
    <w:rsid w:val="09597734"/>
    <w:rsid w:val="095B7D7E"/>
    <w:rsid w:val="095F1EFB"/>
    <w:rsid w:val="09636547"/>
    <w:rsid w:val="0969083C"/>
    <w:rsid w:val="096C4215"/>
    <w:rsid w:val="096D2532"/>
    <w:rsid w:val="096E4B93"/>
    <w:rsid w:val="096E4D5C"/>
    <w:rsid w:val="0978669A"/>
    <w:rsid w:val="097B10DD"/>
    <w:rsid w:val="098040F6"/>
    <w:rsid w:val="098147F0"/>
    <w:rsid w:val="0982148A"/>
    <w:rsid w:val="098A3FEF"/>
    <w:rsid w:val="098C36F0"/>
    <w:rsid w:val="098F49D9"/>
    <w:rsid w:val="09912705"/>
    <w:rsid w:val="099377DC"/>
    <w:rsid w:val="099C7BBE"/>
    <w:rsid w:val="09A1176D"/>
    <w:rsid w:val="09A211FD"/>
    <w:rsid w:val="09A33D5F"/>
    <w:rsid w:val="09AE691D"/>
    <w:rsid w:val="09AF512E"/>
    <w:rsid w:val="09B37BE6"/>
    <w:rsid w:val="09B414C1"/>
    <w:rsid w:val="09B64FB7"/>
    <w:rsid w:val="09B70488"/>
    <w:rsid w:val="09B73E57"/>
    <w:rsid w:val="09B85A9D"/>
    <w:rsid w:val="09BE27FD"/>
    <w:rsid w:val="09C22F64"/>
    <w:rsid w:val="09C447FF"/>
    <w:rsid w:val="09CC48D3"/>
    <w:rsid w:val="09D00614"/>
    <w:rsid w:val="09D867C7"/>
    <w:rsid w:val="09D91C63"/>
    <w:rsid w:val="09DA2E15"/>
    <w:rsid w:val="09DC6D7F"/>
    <w:rsid w:val="09E103DB"/>
    <w:rsid w:val="09E12083"/>
    <w:rsid w:val="09E23260"/>
    <w:rsid w:val="09E72ECE"/>
    <w:rsid w:val="09E90A62"/>
    <w:rsid w:val="09EA2D1D"/>
    <w:rsid w:val="09F019FA"/>
    <w:rsid w:val="09F54E7B"/>
    <w:rsid w:val="09FF6FCB"/>
    <w:rsid w:val="0A03095D"/>
    <w:rsid w:val="0A031353"/>
    <w:rsid w:val="0A0322DB"/>
    <w:rsid w:val="0A090E68"/>
    <w:rsid w:val="0A0A1E45"/>
    <w:rsid w:val="0A0F1C7A"/>
    <w:rsid w:val="0A0F75F4"/>
    <w:rsid w:val="0A1136B3"/>
    <w:rsid w:val="0A156FB7"/>
    <w:rsid w:val="0A1C0589"/>
    <w:rsid w:val="0A265C5E"/>
    <w:rsid w:val="0A2866F7"/>
    <w:rsid w:val="0A2D6676"/>
    <w:rsid w:val="0A302E0F"/>
    <w:rsid w:val="0A346F85"/>
    <w:rsid w:val="0A3955E8"/>
    <w:rsid w:val="0A3A062B"/>
    <w:rsid w:val="0A3F2D2D"/>
    <w:rsid w:val="0A435870"/>
    <w:rsid w:val="0A450D5B"/>
    <w:rsid w:val="0A47596A"/>
    <w:rsid w:val="0A4836E0"/>
    <w:rsid w:val="0A4D4B1E"/>
    <w:rsid w:val="0A4F006D"/>
    <w:rsid w:val="0A53760D"/>
    <w:rsid w:val="0A545C1F"/>
    <w:rsid w:val="0A570EE2"/>
    <w:rsid w:val="0A5926AF"/>
    <w:rsid w:val="0A5F031D"/>
    <w:rsid w:val="0A5F05AF"/>
    <w:rsid w:val="0A622F1F"/>
    <w:rsid w:val="0A656B4B"/>
    <w:rsid w:val="0A6A17FC"/>
    <w:rsid w:val="0A702C52"/>
    <w:rsid w:val="0A723635"/>
    <w:rsid w:val="0A7874E3"/>
    <w:rsid w:val="0A8320DE"/>
    <w:rsid w:val="0A892B7A"/>
    <w:rsid w:val="0A8A79EC"/>
    <w:rsid w:val="0A8B0B7B"/>
    <w:rsid w:val="0A8D2EC4"/>
    <w:rsid w:val="0A8E180C"/>
    <w:rsid w:val="0A90564E"/>
    <w:rsid w:val="0A906536"/>
    <w:rsid w:val="0A9070D4"/>
    <w:rsid w:val="0A936CA9"/>
    <w:rsid w:val="0A945EFA"/>
    <w:rsid w:val="0A95539D"/>
    <w:rsid w:val="0A965740"/>
    <w:rsid w:val="0A981582"/>
    <w:rsid w:val="0A9C04AE"/>
    <w:rsid w:val="0AA1233E"/>
    <w:rsid w:val="0AA24687"/>
    <w:rsid w:val="0AA85249"/>
    <w:rsid w:val="0AA906FE"/>
    <w:rsid w:val="0AAD70F7"/>
    <w:rsid w:val="0AB10F07"/>
    <w:rsid w:val="0AB562EB"/>
    <w:rsid w:val="0ABA041A"/>
    <w:rsid w:val="0ABA1F3B"/>
    <w:rsid w:val="0ABF3741"/>
    <w:rsid w:val="0AC413CC"/>
    <w:rsid w:val="0AC663BC"/>
    <w:rsid w:val="0AC93C0A"/>
    <w:rsid w:val="0AC97E3D"/>
    <w:rsid w:val="0ACA3A43"/>
    <w:rsid w:val="0ACF3B75"/>
    <w:rsid w:val="0ADF3568"/>
    <w:rsid w:val="0AE0396D"/>
    <w:rsid w:val="0AE17B6E"/>
    <w:rsid w:val="0AE4585B"/>
    <w:rsid w:val="0AEA76DA"/>
    <w:rsid w:val="0AEB1E3E"/>
    <w:rsid w:val="0AEF65B4"/>
    <w:rsid w:val="0AF25DD5"/>
    <w:rsid w:val="0AF34787"/>
    <w:rsid w:val="0AF46C3F"/>
    <w:rsid w:val="0AF628A9"/>
    <w:rsid w:val="0AF9254A"/>
    <w:rsid w:val="0AFB4861"/>
    <w:rsid w:val="0AFD1EB9"/>
    <w:rsid w:val="0AFE08A2"/>
    <w:rsid w:val="0AFF1F70"/>
    <w:rsid w:val="0B042734"/>
    <w:rsid w:val="0B0E13D6"/>
    <w:rsid w:val="0B0F2142"/>
    <w:rsid w:val="0B122F8F"/>
    <w:rsid w:val="0B131432"/>
    <w:rsid w:val="0B136A43"/>
    <w:rsid w:val="0B150FE0"/>
    <w:rsid w:val="0B176325"/>
    <w:rsid w:val="0B1A291A"/>
    <w:rsid w:val="0B21391B"/>
    <w:rsid w:val="0B22625B"/>
    <w:rsid w:val="0B241422"/>
    <w:rsid w:val="0B254CAA"/>
    <w:rsid w:val="0B28501B"/>
    <w:rsid w:val="0B286656"/>
    <w:rsid w:val="0B2C57D7"/>
    <w:rsid w:val="0B31368D"/>
    <w:rsid w:val="0B316748"/>
    <w:rsid w:val="0B3440C0"/>
    <w:rsid w:val="0B3B65E0"/>
    <w:rsid w:val="0B3C005F"/>
    <w:rsid w:val="0B3F6DEE"/>
    <w:rsid w:val="0B424AD2"/>
    <w:rsid w:val="0B447488"/>
    <w:rsid w:val="0B455738"/>
    <w:rsid w:val="0B461A38"/>
    <w:rsid w:val="0B4B49C7"/>
    <w:rsid w:val="0B4C214A"/>
    <w:rsid w:val="0B5527AB"/>
    <w:rsid w:val="0B594D3B"/>
    <w:rsid w:val="0B5D1B4E"/>
    <w:rsid w:val="0B5D3445"/>
    <w:rsid w:val="0B61477B"/>
    <w:rsid w:val="0B645FBC"/>
    <w:rsid w:val="0B65171B"/>
    <w:rsid w:val="0B660644"/>
    <w:rsid w:val="0B6B272A"/>
    <w:rsid w:val="0B6D1F77"/>
    <w:rsid w:val="0B723D3E"/>
    <w:rsid w:val="0B764112"/>
    <w:rsid w:val="0B785BF1"/>
    <w:rsid w:val="0B7A50DB"/>
    <w:rsid w:val="0B7B0749"/>
    <w:rsid w:val="0B7E624E"/>
    <w:rsid w:val="0B826D1C"/>
    <w:rsid w:val="0B831B71"/>
    <w:rsid w:val="0B8A6A06"/>
    <w:rsid w:val="0B8B3A3B"/>
    <w:rsid w:val="0BA158F6"/>
    <w:rsid w:val="0BA37183"/>
    <w:rsid w:val="0BA82B04"/>
    <w:rsid w:val="0BAA4E39"/>
    <w:rsid w:val="0BAB71E3"/>
    <w:rsid w:val="0BAB7656"/>
    <w:rsid w:val="0BAC469F"/>
    <w:rsid w:val="0BAE11E0"/>
    <w:rsid w:val="0BAE4207"/>
    <w:rsid w:val="0BAF3611"/>
    <w:rsid w:val="0BB75CA8"/>
    <w:rsid w:val="0BB95B1E"/>
    <w:rsid w:val="0BBA5AE1"/>
    <w:rsid w:val="0BBC6C1A"/>
    <w:rsid w:val="0BC20CC4"/>
    <w:rsid w:val="0BC26E21"/>
    <w:rsid w:val="0BC65A3D"/>
    <w:rsid w:val="0BC76268"/>
    <w:rsid w:val="0BC83BB1"/>
    <w:rsid w:val="0BC953AE"/>
    <w:rsid w:val="0BCB25EE"/>
    <w:rsid w:val="0BCB67C4"/>
    <w:rsid w:val="0BCB744C"/>
    <w:rsid w:val="0BCB7DEA"/>
    <w:rsid w:val="0BCE580E"/>
    <w:rsid w:val="0BD37195"/>
    <w:rsid w:val="0BD4298E"/>
    <w:rsid w:val="0BD62C0F"/>
    <w:rsid w:val="0BDA3FDB"/>
    <w:rsid w:val="0BDB7AA5"/>
    <w:rsid w:val="0BE32C06"/>
    <w:rsid w:val="0BE879AE"/>
    <w:rsid w:val="0BE87E03"/>
    <w:rsid w:val="0BE94EB9"/>
    <w:rsid w:val="0BEC24ED"/>
    <w:rsid w:val="0BED5C90"/>
    <w:rsid w:val="0BEF777C"/>
    <w:rsid w:val="0BF54038"/>
    <w:rsid w:val="0BFA2CD3"/>
    <w:rsid w:val="0BFD46D3"/>
    <w:rsid w:val="0C032B60"/>
    <w:rsid w:val="0C055D2C"/>
    <w:rsid w:val="0C094292"/>
    <w:rsid w:val="0C0B43A5"/>
    <w:rsid w:val="0C0D45C7"/>
    <w:rsid w:val="0C0D54D5"/>
    <w:rsid w:val="0C1232A8"/>
    <w:rsid w:val="0C137BF8"/>
    <w:rsid w:val="0C1B0491"/>
    <w:rsid w:val="0C1B4521"/>
    <w:rsid w:val="0C2343CE"/>
    <w:rsid w:val="0C287ECF"/>
    <w:rsid w:val="0C293F71"/>
    <w:rsid w:val="0C2C20F7"/>
    <w:rsid w:val="0C2D2FE4"/>
    <w:rsid w:val="0C2E6FB6"/>
    <w:rsid w:val="0C304B08"/>
    <w:rsid w:val="0C323823"/>
    <w:rsid w:val="0C353033"/>
    <w:rsid w:val="0C356822"/>
    <w:rsid w:val="0C370E21"/>
    <w:rsid w:val="0C39623C"/>
    <w:rsid w:val="0C3B7F77"/>
    <w:rsid w:val="0C3C4FF4"/>
    <w:rsid w:val="0C3C61D8"/>
    <w:rsid w:val="0C3E1C14"/>
    <w:rsid w:val="0C411A0C"/>
    <w:rsid w:val="0C426C85"/>
    <w:rsid w:val="0C432D86"/>
    <w:rsid w:val="0C4D2660"/>
    <w:rsid w:val="0C4E63B2"/>
    <w:rsid w:val="0C551CE8"/>
    <w:rsid w:val="0C5577F1"/>
    <w:rsid w:val="0C574E9F"/>
    <w:rsid w:val="0C594881"/>
    <w:rsid w:val="0C596C01"/>
    <w:rsid w:val="0C5A384D"/>
    <w:rsid w:val="0C5E4639"/>
    <w:rsid w:val="0C6404E1"/>
    <w:rsid w:val="0C6A7ED1"/>
    <w:rsid w:val="0C6F1B39"/>
    <w:rsid w:val="0C6F7D6D"/>
    <w:rsid w:val="0C7467FF"/>
    <w:rsid w:val="0C79403A"/>
    <w:rsid w:val="0C7A2965"/>
    <w:rsid w:val="0C7B0DAB"/>
    <w:rsid w:val="0C83391E"/>
    <w:rsid w:val="0C8656F1"/>
    <w:rsid w:val="0C884ACA"/>
    <w:rsid w:val="0C8935B7"/>
    <w:rsid w:val="0C895198"/>
    <w:rsid w:val="0C8D5C06"/>
    <w:rsid w:val="0C910BF3"/>
    <w:rsid w:val="0C9465C2"/>
    <w:rsid w:val="0C9964AA"/>
    <w:rsid w:val="0C9A5993"/>
    <w:rsid w:val="0CA43FE3"/>
    <w:rsid w:val="0CA763A8"/>
    <w:rsid w:val="0CB02950"/>
    <w:rsid w:val="0CB16EF4"/>
    <w:rsid w:val="0CB3536D"/>
    <w:rsid w:val="0CB56BB5"/>
    <w:rsid w:val="0CB6695E"/>
    <w:rsid w:val="0CB87B2B"/>
    <w:rsid w:val="0CBF3DD1"/>
    <w:rsid w:val="0CBF4267"/>
    <w:rsid w:val="0CCD0BC1"/>
    <w:rsid w:val="0CCE5EB0"/>
    <w:rsid w:val="0CD046CA"/>
    <w:rsid w:val="0CD21CB7"/>
    <w:rsid w:val="0CD624D0"/>
    <w:rsid w:val="0CDB3A09"/>
    <w:rsid w:val="0CE835AA"/>
    <w:rsid w:val="0CEA1A34"/>
    <w:rsid w:val="0CEE17F8"/>
    <w:rsid w:val="0D000B8E"/>
    <w:rsid w:val="0D0119A7"/>
    <w:rsid w:val="0D01460F"/>
    <w:rsid w:val="0D02682F"/>
    <w:rsid w:val="0D0350C9"/>
    <w:rsid w:val="0D057756"/>
    <w:rsid w:val="0D072C50"/>
    <w:rsid w:val="0D0A3F56"/>
    <w:rsid w:val="0D0C1984"/>
    <w:rsid w:val="0D0C384C"/>
    <w:rsid w:val="0D0C4871"/>
    <w:rsid w:val="0D0F458A"/>
    <w:rsid w:val="0D1757D9"/>
    <w:rsid w:val="0D1969DD"/>
    <w:rsid w:val="0D1C4C53"/>
    <w:rsid w:val="0D1D4C1E"/>
    <w:rsid w:val="0D2132AA"/>
    <w:rsid w:val="0D2228AD"/>
    <w:rsid w:val="0D224967"/>
    <w:rsid w:val="0D225593"/>
    <w:rsid w:val="0D242655"/>
    <w:rsid w:val="0D2475E0"/>
    <w:rsid w:val="0D255EB8"/>
    <w:rsid w:val="0D297DF3"/>
    <w:rsid w:val="0D2B3E52"/>
    <w:rsid w:val="0D2C6BEA"/>
    <w:rsid w:val="0D361C4E"/>
    <w:rsid w:val="0D385411"/>
    <w:rsid w:val="0D3A2D89"/>
    <w:rsid w:val="0D3D47F7"/>
    <w:rsid w:val="0D404AFF"/>
    <w:rsid w:val="0D406E69"/>
    <w:rsid w:val="0D455C6C"/>
    <w:rsid w:val="0D483CBE"/>
    <w:rsid w:val="0D4B0120"/>
    <w:rsid w:val="0D4C2168"/>
    <w:rsid w:val="0D5235A5"/>
    <w:rsid w:val="0D5958B3"/>
    <w:rsid w:val="0D5B27B9"/>
    <w:rsid w:val="0D5D1B45"/>
    <w:rsid w:val="0D5D6F30"/>
    <w:rsid w:val="0D617B23"/>
    <w:rsid w:val="0D6712AB"/>
    <w:rsid w:val="0D672C88"/>
    <w:rsid w:val="0D6924B4"/>
    <w:rsid w:val="0D695B96"/>
    <w:rsid w:val="0D6D7CC3"/>
    <w:rsid w:val="0D730714"/>
    <w:rsid w:val="0D752347"/>
    <w:rsid w:val="0D7A6E95"/>
    <w:rsid w:val="0D7D5968"/>
    <w:rsid w:val="0D7E7590"/>
    <w:rsid w:val="0D804459"/>
    <w:rsid w:val="0D8107A5"/>
    <w:rsid w:val="0D882377"/>
    <w:rsid w:val="0D8952C8"/>
    <w:rsid w:val="0D8A3635"/>
    <w:rsid w:val="0D8C797C"/>
    <w:rsid w:val="0D950038"/>
    <w:rsid w:val="0D9547D8"/>
    <w:rsid w:val="0D95683C"/>
    <w:rsid w:val="0D995EED"/>
    <w:rsid w:val="0D9E5F19"/>
    <w:rsid w:val="0DA21DB4"/>
    <w:rsid w:val="0DAD1E24"/>
    <w:rsid w:val="0DAE5B0E"/>
    <w:rsid w:val="0DB05826"/>
    <w:rsid w:val="0DB14B01"/>
    <w:rsid w:val="0DB32D06"/>
    <w:rsid w:val="0DB42335"/>
    <w:rsid w:val="0DB46ABF"/>
    <w:rsid w:val="0DB66B64"/>
    <w:rsid w:val="0DB852CD"/>
    <w:rsid w:val="0DB871F4"/>
    <w:rsid w:val="0DC75B70"/>
    <w:rsid w:val="0DC93981"/>
    <w:rsid w:val="0DCA1C2D"/>
    <w:rsid w:val="0DCA5B2E"/>
    <w:rsid w:val="0DD339D9"/>
    <w:rsid w:val="0DD51E4A"/>
    <w:rsid w:val="0DD568C6"/>
    <w:rsid w:val="0DD75970"/>
    <w:rsid w:val="0DDA223F"/>
    <w:rsid w:val="0DDB1764"/>
    <w:rsid w:val="0DDC38D7"/>
    <w:rsid w:val="0DDD1EF9"/>
    <w:rsid w:val="0DDE005B"/>
    <w:rsid w:val="0DDE46E4"/>
    <w:rsid w:val="0DE00F77"/>
    <w:rsid w:val="0DE306B5"/>
    <w:rsid w:val="0DE322D6"/>
    <w:rsid w:val="0DEE2354"/>
    <w:rsid w:val="0DF42B16"/>
    <w:rsid w:val="0DF91C50"/>
    <w:rsid w:val="0DF95E14"/>
    <w:rsid w:val="0E016653"/>
    <w:rsid w:val="0E0B7F2C"/>
    <w:rsid w:val="0E0F091E"/>
    <w:rsid w:val="0E1279E4"/>
    <w:rsid w:val="0E165F90"/>
    <w:rsid w:val="0E170B4F"/>
    <w:rsid w:val="0E183CB5"/>
    <w:rsid w:val="0E1E6E2A"/>
    <w:rsid w:val="0E206EC3"/>
    <w:rsid w:val="0E216B0F"/>
    <w:rsid w:val="0E225878"/>
    <w:rsid w:val="0E260DE1"/>
    <w:rsid w:val="0E2A0339"/>
    <w:rsid w:val="0E2A25DA"/>
    <w:rsid w:val="0E2C657F"/>
    <w:rsid w:val="0E2C6E3A"/>
    <w:rsid w:val="0E2D1B43"/>
    <w:rsid w:val="0E323274"/>
    <w:rsid w:val="0E35007A"/>
    <w:rsid w:val="0E373481"/>
    <w:rsid w:val="0E376445"/>
    <w:rsid w:val="0E3A74C4"/>
    <w:rsid w:val="0E3B0C70"/>
    <w:rsid w:val="0E401365"/>
    <w:rsid w:val="0E49067F"/>
    <w:rsid w:val="0E4A2328"/>
    <w:rsid w:val="0E4A5F38"/>
    <w:rsid w:val="0E5916FF"/>
    <w:rsid w:val="0E594261"/>
    <w:rsid w:val="0E5B15B0"/>
    <w:rsid w:val="0E5C0A8E"/>
    <w:rsid w:val="0E5C74E8"/>
    <w:rsid w:val="0E60204F"/>
    <w:rsid w:val="0E626314"/>
    <w:rsid w:val="0E66376C"/>
    <w:rsid w:val="0E6638DE"/>
    <w:rsid w:val="0E6A3D8F"/>
    <w:rsid w:val="0E6D37B4"/>
    <w:rsid w:val="0E6F097D"/>
    <w:rsid w:val="0E70754B"/>
    <w:rsid w:val="0E74563A"/>
    <w:rsid w:val="0E753626"/>
    <w:rsid w:val="0E760CD2"/>
    <w:rsid w:val="0E771E58"/>
    <w:rsid w:val="0E7764F9"/>
    <w:rsid w:val="0E796DFA"/>
    <w:rsid w:val="0E79741C"/>
    <w:rsid w:val="0E7A52BE"/>
    <w:rsid w:val="0E7B1820"/>
    <w:rsid w:val="0E7B61FB"/>
    <w:rsid w:val="0E832250"/>
    <w:rsid w:val="0E83344B"/>
    <w:rsid w:val="0E884BDA"/>
    <w:rsid w:val="0E915F8A"/>
    <w:rsid w:val="0E954083"/>
    <w:rsid w:val="0E961603"/>
    <w:rsid w:val="0E983633"/>
    <w:rsid w:val="0EA27901"/>
    <w:rsid w:val="0EAA73B4"/>
    <w:rsid w:val="0EB043E6"/>
    <w:rsid w:val="0EB0495D"/>
    <w:rsid w:val="0EB21A5E"/>
    <w:rsid w:val="0EB255FF"/>
    <w:rsid w:val="0EB66E2D"/>
    <w:rsid w:val="0EB71E64"/>
    <w:rsid w:val="0EB73A87"/>
    <w:rsid w:val="0EB96A82"/>
    <w:rsid w:val="0EBC12A1"/>
    <w:rsid w:val="0EBC2A36"/>
    <w:rsid w:val="0EC21AFD"/>
    <w:rsid w:val="0EC66F72"/>
    <w:rsid w:val="0ECC276B"/>
    <w:rsid w:val="0ECC4567"/>
    <w:rsid w:val="0ECF7C65"/>
    <w:rsid w:val="0ED20EA8"/>
    <w:rsid w:val="0ED32F6C"/>
    <w:rsid w:val="0ED7249D"/>
    <w:rsid w:val="0ED84546"/>
    <w:rsid w:val="0EDB1B85"/>
    <w:rsid w:val="0EE13C95"/>
    <w:rsid w:val="0EE2623B"/>
    <w:rsid w:val="0EE52F02"/>
    <w:rsid w:val="0EE61E0B"/>
    <w:rsid w:val="0EEB2121"/>
    <w:rsid w:val="0EEC6E27"/>
    <w:rsid w:val="0EED30E8"/>
    <w:rsid w:val="0EED3C98"/>
    <w:rsid w:val="0EF35CBD"/>
    <w:rsid w:val="0EFA4C30"/>
    <w:rsid w:val="0EFD2CC2"/>
    <w:rsid w:val="0EFF0213"/>
    <w:rsid w:val="0F001CA9"/>
    <w:rsid w:val="0F006E4B"/>
    <w:rsid w:val="0F030406"/>
    <w:rsid w:val="0F0330C2"/>
    <w:rsid w:val="0F0555EE"/>
    <w:rsid w:val="0F074E25"/>
    <w:rsid w:val="0F0A399D"/>
    <w:rsid w:val="0F0B1157"/>
    <w:rsid w:val="0F124DFB"/>
    <w:rsid w:val="0F2566D6"/>
    <w:rsid w:val="0F283ECA"/>
    <w:rsid w:val="0F297188"/>
    <w:rsid w:val="0F334F38"/>
    <w:rsid w:val="0F375FA0"/>
    <w:rsid w:val="0F3823EB"/>
    <w:rsid w:val="0F390E3D"/>
    <w:rsid w:val="0F3922C0"/>
    <w:rsid w:val="0F3B0B76"/>
    <w:rsid w:val="0F3B729A"/>
    <w:rsid w:val="0F3C4735"/>
    <w:rsid w:val="0F3D04E9"/>
    <w:rsid w:val="0F440231"/>
    <w:rsid w:val="0F477871"/>
    <w:rsid w:val="0F477973"/>
    <w:rsid w:val="0F4B3454"/>
    <w:rsid w:val="0F4D12BD"/>
    <w:rsid w:val="0F5113C9"/>
    <w:rsid w:val="0F521E2E"/>
    <w:rsid w:val="0F527028"/>
    <w:rsid w:val="0F5313BA"/>
    <w:rsid w:val="0F5732FA"/>
    <w:rsid w:val="0F5801E9"/>
    <w:rsid w:val="0F5B1E08"/>
    <w:rsid w:val="0F5C4C71"/>
    <w:rsid w:val="0F5E7046"/>
    <w:rsid w:val="0F5F4B3E"/>
    <w:rsid w:val="0F612806"/>
    <w:rsid w:val="0F675A2D"/>
    <w:rsid w:val="0F6B70F9"/>
    <w:rsid w:val="0F6F50EB"/>
    <w:rsid w:val="0F7D5DFD"/>
    <w:rsid w:val="0F8012E7"/>
    <w:rsid w:val="0F8116C6"/>
    <w:rsid w:val="0F8B45C8"/>
    <w:rsid w:val="0F8B4E90"/>
    <w:rsid w:val="0F8D3CC2"/>
    <w:rsid w:val="0F9228AC"/>
    <w:rsid w:val="0F927670"/>
    <w:rsid w:val="0F936B57"/>
    <w:rsid w:val="0F977AA3"/>
    <w:rsid w:val="0F9F3EA9"/>
    <w:rsid w:val="0FA22B2D"/>
    <w:rsid w:val="0FA54926"/>
    <w:rsid w:val="0FA77FEF"/>
    <w:rsid w:val="0FAA10C5"/>
    <w:rsid w:val="0FAB311B"/>
    <w:rsid w:val="0FB53A30"/>
    <w:rsid w:val="0FB7307F"/>
    <w:rsid w:val="0FB802EA"/>
    <w:rsid w:val="0FC2032D"/>
    <w:rsid w:val="0FC37510"/>
    <w:rsid w:val="0FC407AB"/>
    <w:rsid w:val="0FC55DD4"/>
    <w:rsid w:val="0FC57255"/>
    <w:rsid w:val="0FCB5A7E"/>
    <w:rsid w:val="0FCB5DA8"/>
    <w:rsid w:val="0FCF6F78"/>
    <w:rsid w:val="0FD0761B"/>
    <w:rsid w:val="0FD17A73"/>
    <w:rsid w:val="0FD20A54"/>
    <w:rsid w:val="0FDC7CA9"/>
    <w:rsid w:val="0FDD64B4"/>
    <w:rsid w:val="0FDF2015"/>
    <w:rsid w:val="0FE3562C"/>
    <w:rsid w:val="0FEA2108"/>
    <w:rsid w:val="0FEC32E3"/>
    <w:rsid w:val="0FEC50FD"/>
    <w:rsid w:val="0FEE5F63"/>
    <w:rsid w:val="0FF01A52"/>
    <w:rsid w:val="0FF23E08"/>
    <w:rsid w:val="0FF864B2"/>
    <w:rsid w:val="100175BA"/>
    <w:rsid w:val="1002491E"/>
    <w:rsid w:val="10051154"/>
    <w:rsid w:val="1006116B"/>
    <w:rsid w:val="10082347"/>
    <w:rsid w:val="100B3118"/>
    <w:rsid w:val="100D77C9"/>
    <w:rsid w:val="100E368A"/>
    <w:rsid w:val="100F5ECF"/>
    <w:rsid w:val="10123E88"/>
    <w:rsid w:val="10173B20"/>
    <w:rsid w:val="10190408"/>
    <w:rsid w:val="101B4B2B"/>
    <w:rsid w:val="101D4E9E"/>
    <w:rsid w:val="101F0D91"/>
    <w:rsid w:val="10214450"/>
    <w:rsid w:val="102157F3"/>
    <w:rsid w:val="10264A7E"/>
    <w:rsid w:val="102928F7"/>
    <w:rsid w:val="102A20E7"/>
    <w:rsid w:val="102C15EF"/>
    <w:rsid w:val="103273A4"/>
    <w:rsid w:val="10335C06"/>
    <w:rsid w:val="10340906"/>
    <w:rsid w:val="10387B97"/>
    <w:rsid w:val="103A574D"/>
    <w:rsid w:val="103B02B2"/>
    <w:rsid w:val="10410667"/>
    <w:rsid w:val="104445C3"/>
    <w:rsid w:val="10463F92"/>
    <w:rsid w:val="1046747A"/>
    <w:rsid w:val="1048111A"/>
    <w:rsid w:val="104A2D6A"/>
    <w:rsid w:val="104B3FBB"/>
    <w:rsid w:val="104F503B"/>
    <w:rsid w:val="105F040F"/>
    <w:rsid w:val="106104D8"/>
    <w:rsid w:val="10614B4D"/>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937178"/>
    <w:rsid w:val="10945A26"/>
    <w:rsid w:val="10953E28"/>
    <w:rsid w:val="109B3B87"/>
    <w:rsid w:val="10A51874"/>
    <w:rsid w:val="10A556D8"/>
    <w:rsid w:val="10A63EFB"/>
    <w:rsid w:val="10AB4D0E"/>
    <w:rsid w:val="10AF483A"/>
    <w:rsid w:val="10AF7ADF"/>
    <w:rsid w:val="10B1271C"/>
    <w:rsid w:val="10B15901"/>
    <w:rsid w:val="10B212E4"/>
    <w:rsid w:val="10B33E7A"/>
    <w:rsid w:val="10BE3224"/>
    <w:rsid w:val="10C35654"/>
    <w:rsid w:val="10C36361"/>
    <w:rsid w:val="10C93451"/>
    <w:rsid w:val="10D35981"/>
    <w:rsid w:val="10D704FD"/>
    <w:rsid w:val="10DC17FC"/>
    <w:rsid w:val="10DF10E1"/>
    <w:rsid w:val="10E4562F"/>
    <w:rsid w:val="10E6673F"/>
    <w:rsid w:val="10E80D8D"/>
    <w:rsid w:val="10E96507"/>
    <w:rsid w:val="10ED79A2"/>
    <w:rsid w:val="10EE5DD1"/>
    <w:rsid w:val="10EF19E4"/>
    <w:rsid w:val="10EF5F16"/>
    <w:rsid w:val="10F046AC"/>
    <w:rsid w:val="10F11BFF"/>
    <w:rsid w:val="11032AF5"/>
    <w:rsid w:val="110A5B61"/>
    <w:rsid w:val="11101151"/>
    <w:rsid w:val="11121ABB"/>
    <w:rsid w:val="1112714C"/>
    <w:rsid w:val="11130EB6"/>
    <w:rsid w:val="1115292B"/>
    <w:rsid w:val="11173879"/>
    <w:rsid w:val="11174D87"/>
    <w:rsid w:val="111A6A63"/>
    <w:rsid w:val="111E2C7A"/>
    <w:rsid w:val="111F249C"/>
    <w:rsid w:val="1121026D"/>
    <w:rsid w:val="1122085E"/>
    <w:rsid w:val="11235949"/>
    <w:rsid w:val="11254494"/>
    <w:rsid w:val="11262D96"/>
    <w:rsid w:val="112A1FBF"/>
    <w:rsid w:val="112B625A"/>
    <w:rsid w:val="112B7FD2"/>
    <w:rsid w:val="112F025F"/>
    <w:rsid w:val="11330D3D"/>
    <w:rsid w:val="11347954"/>
    <w:rsid w:val="11366FA7"/>
    <w:rsid w:val="113B4AF5"/>
    <w:rsid w:val="113D45ED"/>
    <w:rsid w:val="11487E4B"/>
    <w:rsid w:val="114B2327"/>
    <w:rsid w:val="114B246A"/>
    <w:rsid w:val="11537076"/>
    <w:rsid w:val="11560B24"/>
    <w:rsid w:val="11566C12"/>
    <w:rsid w:val="115759CE"/>
    <w:rsid w:val="115808BE"/>
    <w:rsid w:val="115973A2"/>
    <w:rsid w:val="115B138B"/>
    <w:rsid w:val="115E5C78"/>
    <w:rsid w:val="11601E56"/>
    <w:rsid w:val="1161026A"/>
    <w:rsid w:val="11626FB3"/>
    <w:rsid w:val="11672849"/>
    <w:rsid w:val="11686319"/>
    <w:rsid w:val="116A3787"/>
    <w:rsid w:val="1172122A"/>
    <w:rsid w:val="11751226"/>
    <w:rsid w:val="117525C4"/>
    <w:rsid w:val="11767657"/>
    <w:rsid w:val="11777214"/>
    <w:rsid w:val="11781DFA"/>
    <w:rsid w:val="11786A3E"/>
    <w:rsid w:val="117C5A43"/>
    <w:rsid w:val="117F41B1"/>
    <w:rsid w:val="11807847"/>
    <w:rsid w:val="118457F6"/>
    <w:rsid w:val="118734D1"/>
    <w:rsid w:val="118828CF"/>
    <w:rsid w:val="118B7CC4"/>
    <w:rsid w:val="118C0D72"/>
    <w:rsid w:val="118C46DA"/>
    <w:rsid w:val="118E254C"/>
    <w:rsid w:val="11935718"/>
    <w:rsid w:val="1196770A"/>
    <w:rsid w:val="11997C59"/>
    <w:rsid w:val="119C29A2"/>
    <w:rsid w:val="119E62B1"/>
    <w:rsid w:val="11A26FF1"/>
    <w:rsid w:val="11A36C23"/>
    <w:rsid w:val="11AC79D2"/>
    <w:rsid w:val="11AE2D23"/>
    <w:rsid w:val="11AE7D60"/>
    <w:rsid w:val="11AF7D17"/>
    <w:rsid w:val="11B60BF4"/>
    <w:rsid w:val="11B7574C"/>
    <w:rsid w:val="11BA75D3"/>
    <w:rsid w:val="11BA76BD"/>
    <w:rsid w:val="11BE4316"/>
    <w:rsid w:val="11C16227"/>
    <w:rsid w:val="11C50404"/>
    <w:rsid w:val="11C5334A"/>
    <w:rsid w:val="11C55F99"/>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B281F"/>
    <w:rsid w:val="11DE3EEA"/>
    <w:rsid w:val="11DE7001"/>
    <w:rsid w:val="11DF104E"/>
    <w:rsid w:val="11E067E7"/>
    <w:rsid w:val="11E73327"/>
    <w:rsid w:val="11ED6142"/>
    <w:rsid w:val="11F15A65"/>
    <w:rsid w:val="11F31837"/>
    <w:rsid w:val="11F5597E"/>
    <w:rsid w:val="11F8147F"/>
    <w:rsid w:val="11F9390A"/>
    <w:rsid w:val="11FA67FD"/>
    <w:rsid w:val="11FF27A9"/>
    <w:rsid w:val="12053DDA"/>
    <w:rsid w:val="12094E47"/>
    <w:rsid w:val="120A16E2"/>
    <w:rsid w:val="12117961"/>
    <w:rsid w:val="1212107A"/>
    <w:rsid w:val="1221024E"/>
    <w:rsid w:val="12254724"/>
    <w:rsid w:val="12254B65"/>
    <w:rsid w:val="12263966"/>
    <w:rsid w:val="122D5A1D"/>
    <w:rsid w:val="122F0692"/>
    <w:rsid w:val="12313C11"/>
    <w:rsid w:val="12325D1D"/>
    <w:rsid w:val="12334A1F"/>
    <w:rsid w:val="123867FA"/>
    <w:rsid w:val="123873C1"/>
    <w:rsid w:val="123A3C29"/>
    <w:rsid w:val="123E15F4"/>
    <w:rsid w:val="12414577"/>
    <w:rsid w:val="12455CAD"/>
    <w:rsid w:val="124708F9"/>
    <w:rsid w:val="12497908"/>
    <w:rsid w:val="124A1FFD"/>
    <w:rsid w:val="124A6B56"/>
    <w:rsid w:val="124C349B"/>
    <w:rsid w:val="12514D1C"/>
    <w:rsid w:val="12540DA1"/>
    <w:rsid w:val="125479A9"/>
    <w:rsid w:val="125B084E"/>
    <w:rsid w:val="12633CB9"/>
    <w:rsid w:val="12642649"/>
    <w:rsid w:val="12643DE4"/>
    <w:rsid w:val="126729BA"/>
    <w:rsid w:val="126A1FD0"/>
    <w:rsid w:val="126B2148"/>
    <w:rsid w:val="126C407B"/>
    <w:rsid w:val="126E251F"/>
    <w:rsid w:val="126E5FD8"/>
    <w:rsid w:val="12765483"/>
    <w:rsid w:val="12766947"/>
    <w:rsid w:val="127E6792"/>
    <w:rsid w:val="127F52A7"/>
    <w:rsid w:val="128301BF"/>
    <w:rsid w:val="128303BF"/>
    <w:rsid w:val="128B7AFB"/>
    <w:rsid w:val="128C175C"/>
    <w:rsid w:val="128D3260"/>
    <w:rsid w:val="128D5925"/>
    <w:rsid w:val="128E749D"/>
    <w:rsid w:val="12906A06"/>
    <w:rsid w:val="12934C33"/>
    <w:rsid w:val="12956BE3"/>
    <w:rsid w:val="129C4B1E"/>
    <w:rsid w:val="12A13BDA"/>
    <w:rsid w:val="12A142E5"/>
    <w:rsid w:val="12A40193"/>
    <w:rsid w:val="12A57585"/>
    <w:rsid w:val="12A8272F"/>
    <w:rsid w:val="12AA7C2D"/>
    <w:rsid w:val="12AC2445"/>
    <w:rsid w:val="12B10B99"/>
    <w:rsid w:val="12B177F0"/>
    <w:rsid w:val="12B209E5"/>
    <w:rsid w:val="12B31244"/>
    <w:rsid w:val="12B43E24"/>
    <w:rsid w:val="12C052D2"/>
    <w:rsid w:val="12C60939"/>
    <w:rsid w:val="12C91FC6"/>
    <w:rsid w:val="12CB2184"/>
    <w:rsid w:val="12CE14AA"/>
    <w:rsid w:val="12CE7A65"/>
    <w:rsid w:val="12D24720"/>
    <w:rsid w:val="12D4415B"/>
    <w:rsid w:val="12D62E0E"/>
    <w:rsid w:val="12E0156B"/>
    <w:rsid w:val="12E5686D"/>
    <w:rsid w:val="12EC38F6"/>
    <w:rsid w:val="12F00E7B"/>
    <w:rsid w:val="12F76329"/>
    <w:rsid w:val="12F85E8C"/>
    <w:rsid w:val="12F95EB4"/>
    <w:rsid w:val="12FE04F2"/>
    <w:rsid w:val="12FF264C"/>
    <w:rsid w:val="13076BAF"/>
    <w:rsid w:val="130F19A0"/>
    <w:rsid w:val="130F1DA9"/>
    <w:rsid w:val="13124B4C"/>
    <w:rsid w:val="13125764"/>
    <w:rsid w:val="131752BC"/>
    <w:rsid w:val="13185ED4"/>
    <w:rsid w:val="131922EB"/>
    <w:rsid w:val="13193634"/>
    <w:rsid w:val="13194444"/>
    <w:rsid w:val="131B13D9"/>
    <w:rsid w:val="131B30C6"/>
    <w:rsid w:val="131C6DBF"/>
    <w:rsid w:val="131D37B8"/>
    <w:rsid w:val="13217DAA"/>
    <w:rsid w:val="13226D00"/>
    <w:rsid w:val="1323743F"/>
    <w:rsid w:val="1324372F"/>
    <w:rsid w:val="13281A01"/>
    <w:rsid w:val="13293F45"/>
    <w:rsid w:val="132A041E"/>
    <w:rsid w:val="132B1339"/>
    <w:rsid w:val="132C76F8"/>
    <w:rsid w:val="132D7286"/>
    <w:rsid w:val="132F2DBF"/>
    <w:rsid w:val="133179D5"/>
    <w:rsid w:val="1333255F"/>
    <w:rsid w:val="133A1249"/>
    <w:rsid w:val="133C10A0"/>
    <w:rsid w:val="13411774"/>
    <w:rsid w:val="13415459"/>
    <w:rsid w:val="134416B2"/>
    <w:rsid w:val="13441C6C"/>
    <w:rsid w:val="1348767C"/>
    <w:rsid w:val="134A08D4"/>
    <w:rsid w:val="13537D38"/>
    <w:rsid w:val="135A55B0"/>
    <w:rsid w:val="135C41A2"/>
    <w:rsid w:val="135D0726"/>
    <w:rsid w:val="1363772A"/>
    <w:rsid w:val="13645B2A"/>
    <w:rsid w:val="13646D5E"/>
    <w:rsid w:val="13667089"/>
    <w:rsid w:val="13691B25"/>
    <w:rsid w:val="137F1C8D"/>
    <w:rsid w:val="13834E54"/>
    <w:rsid w:val="138C3BB4"/>
    <w:rsid w:val="138D1B3C"/>
    <w:rsid w:val="138E21E8"/>
    <w:rsid w:val="139703D5"/>
    <w:rsid w:val="13AA36AA"/>
    <w:rsid w:val="13AA72DA"/>
    <w:rsid w:val="13AE4A5F"/>
    <w:rsid w:val="13AF27E1"/>
    <w:rsid w:val="13B106F0"/>
    <w:rsid w:val="13B37952"/>
    <w:rsid w:val="13B4098E"/>
    <w:rsid w:val="13B62320"/>
    <w:rsid w:val="13B807A4"/>
    <w:rsid w:val="13BA3727"/>
    <w:rsid w:val="13BB59BA"/>
    <w:rsid w:val="13BD44EE"/>
    <w:rsid w:val="13BF752C"/>
    <w:rsid w:val="13C04034"/>
    <w:rsid w:val="13C55614"/>
    <w:rsid w:val="13C673D1"/>
    <w:rsid w:val="13CC04F7"/>
    <w:rsid w:val="13D0036A"/>
    <w:rsid w:val="13D43BD6"/>
    <w:rsid w:val="13D74838"/>
    <w:rsid w:val="13D96303"/>
    <w:rsid w:val="13DA1A18"/>
    <w:rsid w:val="13DA687D"/>
    <w:rsid w:val="13DC7921"/>
    <w:rsid w:val="13DE2029"/>
    <w:rsid w:val="13E10373"/>
    <w:rsid w:val="13E30309"/>
    <w:rsid w:val="13E308A7"/>
    <w:rsid w:val="13E42CC7"/>
    <w:rsid w:val="13E4364F"/>
    <w:rsid w:val="13E64C99"/>
    <w:rsid w:val="13E932C7"/>
    <w:rsid w:val="13EB1580"/>
    <w:rsid w:val="13ED4B00"/>
    <w:rsid w:val="13EF1BCA"/>
    <w:rsid w:val="13F253BC"/>
    <w:rsid w:val="13F775B3"/>
    <w:rsid w:val="13F92CC0"/>
    <w:rsid w:val="1400415D"/>
    <w:rsid w:val="14012738"/>
    <w:rsid w:val="1408009E"/>
    <w:rsid w:val="14086E6B"/>
    <w:rsid w:val="141040CC"/>
    <w:rsid w:val="141167D5"/>
    <w:rsid w:val="14175A82"/>
    <w:rsid w:val="14193B64"/>
    <w:rsid w:val="141E629C"/>
    <w:rsid w:val="141E756F"/>
    <w:rsid w:val="141F5F98"/>
    <w:rsid w:val="142200E5"/>
    <w:rsid w:val="1426080A"/>
    <w:rsid w:val="14264E47"/>
    <w:rsid w:val="14284AF8"/>
    <w:rsid w:val="142E1718"/>
    <w:rsid w:val="14321BD7"/>
    <w:rsid w:val="143533E9"/>
    <w:rsid w:val="14353A7B"/>
    <w:rsid w:val="143B3472"/>
    <w:rsid w:val="143D3421"/>
    <w:rsid w:val="1443416E"/>
    <w:rsid w:val="144546F2"/>
    <w:rsid w:val="14493FB1"/>
    <w:rsid w:val="144D7A2D"/>
    <w:rsid w:val="144F6AD5"/>
    <w:rsid w:val="145075DE"/>
    <w:rsid w:val="145437A3"/>
    <w:rsid w:val="145640A8"/>
    <w:rsid w:val="145D7420"/>
    <w:rsid w:val="14654D1B"/>
    <w:rsid w:val="14687805"/>
    <w:rsid w:val="146A17AC"/>
    <w:rsid w:val="146B1CFB"/>
    <w:rsid w:val="146D65F1"/>
    <w:rsid w:val="146F7781"/>
    <w:rsid w:val="14740A38"/>
    <w:rsid w:val="14793117"/>
    <w:rsid w:val="147C4CAE"/>
    <w:rsid w:val="1483745E"/>
    <w:rsid w:val="148531C1"/>
    <w:rsid w:val="14867DC8"/>
    <w:rsid w:val="14871EAE"/>
    <w:rsid w:val="14876C9E"/>
    <w:rsid w:val="148A1BBB"/>
    <w:rsid w:val="148D7803"/>
    <w:rsid w:val="148E4928"/>
    <w:rsid w:val="14963D9A"/>
    <w:rsid w:val="149746A4"/>
    <w:rsid w:val="14997436"/>
    <w:rsid w:val="149A0E0D"/>
    <w:rsid w:val="14A5629F"/>
    <w:rsid w:val="14B03AF1"/>
    <w:rsid w:val="14B04A2F"/>
    <w:rsid w:val="14B3042E"/>
    <w:rsid w:val="14B63D6A"/>
    <w:rsid w:val="14B872BA"/>
    <w:rsid w:val="14BF672C"/>
    <w:rsid w:val="14C209A7"/>
    <w:rsid w:val="14C453B3"/>
    <w:rsid w:val="14C569D9"/>
    <w:rsid w:val="14C65E96"/>
    <w:rsid w:val="14CA27FE"/>
    <w:rsid w:val="14CB0124"/>
    <w:rsid w:val="14D031DA"/>
    <w:rsid w:val="14D1156B"/>
    <w:rsid w:val="14D1229A"/>
    <w:rsid w:val="14D141D7"/>
    <w:rsid w:val="14D5012B"/>
    <w:rsid w:val="14D906D3"/>
    <w:rsid w:val="14E47191"/>
    <w:rsid w:val="14E93C21"/>
    <w:rsid w:val="14E9786D"/>
    <w:rsid w:val="14EC3E5C"/>
    <w:rsid w:val="14ED0A8C"/>
    <w:rsid w:val="14ED7C9B"/>
    <w:rsid w:val="14F02BBD"/>
    <w:rsid w:val="14F41E3B"/>
    <w:rsid w:val="14FA4CD9"/>
    <w:rsid w:val="14FB5F43"/>
    <w:rsid w:val="15023202"/>
    <w:rsid w:val="1504739B"/>
    <w:rsid w:val="150721FB"/>
    <w:rsid w:val="150A1882"/>
    <w:rsid w:val="15100FA6"/>
    <w:rsid w:val="151329E3"/>
    <w:rsid w:val="1513479B"/>
    <w:rsid w:val="151677A4"/>
    <w:rsid w:val="151D2BFF"/>
    <w:rsid w:val="151E65DD"/>
    <w:rsid w:val="151F6DBF"/>
    <w:rsid w:val="1521576A"/>
    <w:rsid w:val="15231E2E"/>
    <w:rsid w:val="15262908"/>
    <w:rsid w:val="1529226A"/>
    <w:rsid w:val="152F620B"/>
    <w:rsid w:val="15387A07"/>
    <w:rsid w:val="153A5FE7"/>
    <w:rsid w:val="153C1F3A"/>
    <w:rsid w:val="153D0A90"/>
    <w:rsid w:val="153D638E"/>
    <w:rsid w:val="153E4B6C"/>
    <w:rsid w:val="15413E16"/>
    <w:rsid w:val="15424AED"/>
    <w:rsid w:val="15446B31"/>
    <w:rsid w:val="15494BB0"/>
    <w:rsid w:val="154A5317"/>
    <w:rsid w:val="154D3BE2"/>
    <w:rsid w:val="15536F18"/>
    <w:rsid w:val="155D4772"/>
    <w:rsid w:val="1560174E"/>
    <w:rsid w:val="156103E7"/>
    <w:rsid w:val="15635D03"/>
    <w:rsid w:val="15667B43"/>
    <w:rsid w:val="15703F98"/>
    <w:rsid w:val="15707C42"/>
    <w:rsid w:val="15746741"/>
    <w:rsid w:val="157723EB"/>
    <w:rsid w:val="157876E1"/>
    <w:rsid w:val="15792A24"/>
    <w:rsid w:val="157C1BBE"/>
    <w:rsid w:val="157C2EC4"/>
    <w:rsid w:val="157E2B8D"/>
    <w:rsid w:val="157F3370"/>
    <w:rsid w:val="15821A45"/>
    <w:rsid w:val="15825A68"/>
    <w:rsid w:val="15870153"/>
    <w:rsid w:val="1587641C"/>
    <w:rsid w:val="158A42AA"/>
    <w:rsid w:val="158B6F74"/>
    <w:rsid w:val="159109A5"/>
    <w:rsid w:val="159362F5"/>
    <w:rsid w:val="159866E2"/>
    <w:rsid w:val="159A0A7B"/>
    <w:rsid w:val="159A616F"/>
    <w:rsid w:val="15A22366"/>
    <w:rsid w:val="15A41F63"/>
    <w:rsid w:val="15A63099"/>
    <w:rsid w:val="15A970F2"/>
    <w:rsid w:val="15AA7715"/>
    <w:rsid w:val="15AC1F1E"/>
    <w:rsid w:val="15B274DC"/>
    <w:rsid w:val="15B51F07"/>
    <w:rsid w:val="15B64890"/>
    <w:rsid w:val="15B7100A"/>
    <w:rsid w:val="15B80504"/>
    <w:rsid w:val="15BB7F8A"/>
    <w:rsid w:val="15BE6AB4"/>
    <w:rsid w:val="15C17399"/>
    <w:rsid w:val="15C532BF"/>
    <w:rsid w:val="15C616BD"/>
    <w:rsid w:val="15CA1544"/>
    <w:rsid w:val="15CB24A5"/>
    <w:rsid w:val="15CB56F8"/>
    <w:rsid w:val="15D0130C"/>
    <w:rsid w:val="15D21BE6"/>
    <w:rsid w:val="15D23567"/>
    <w:rsid w:val="15D2523F"/>
    <w:rsid w:val="15D61E56"/>
    <w:rsid w:val="15DC216E"/>
    <w:rsid w:val="15DD2EBE"/>
    <w:rsid w:val="15DD7FCF"/>
    <w:rsid w:val="15E0628C"/>
    <w:rsid w:val="15E247C1"/>
    <w:rsid w:val="15E4589D"/>
    <w:rsid w:val="15E577C7"/>
    <w:rsid w:val="15EA10AD"/>
    <w:rsid w:val="15EB18DC"/>
    <w:rsid w:val="15F04781"/>
    <w:rsid w:val="15F92C7D"/>
    <w:rsid w:val="15FF2443"/>
    <w:rsid w:val="15FF4438"/>
    <w:rsid w:val="16025032"/>
    <w:rsid w:val="16037314"/>
    <w:rsid w:val="16053669"/>
    <w:rsid w:val="16085527"/>
    <w:rsid w:val="160856FA"/>
    <w:rsid w:val="161026C7"/>
    <w:rsid w:val="161409A3"/>
    <w:rsid w:val="16223FCC"/>
    <w:rsid w:val="16293050"/>
    <w:rsid w:val="16314558"/>
    <w:rsid w:val="16343187"/>
    <w:rsid w:val="163E0BDC"/>
    <w:rsid w:val="164129F4"/>
    <w:rsid w:val="164219DA"/>
    <w:rsid w:val="16446CE1"/>
    <w:rsid w:val="16463ED1"/>
    <w:rsid w:val="16485385"/>
    <w:rsid w:val="164C783E"/>
    <w:rsid w:val="164E0B1C"/>
    <w:rsid w:val="16512308"/>
    <w:rsid w:val="16540453"/>
    <w:rsid w:val="16570F3D"/>
    <w:rsid w:val="16591624"/>
    <w:rsid w:val="165D6775"/>
    <w:rsid w:val="165F0C11"/>
    <w:rsid w:val="16606EE7"/>
    <w:rsid w:val="166308A1"/>
    <w:rsid w:val="166453C4"/>
    <w:rsid w:val="16660F5F"/>
    <w:rsid w:val="166A6944"/>
    <w:rsid w:val="166D0B60"/>
    <w:rsid w:val="167457C0"/>
    <w:rsid w:val="1675529E"/>
    <w:rsid w:val="16755839"/>
    <w:rsid w:val="16764363"/>
    <w:rsid w:val="167F4E63"/>
    <w:rsid w:val="16837FDA"/>
    <w:rsid w:val="1684192E"/>
    <w:rsid w:val="168B1464"/>
    <w:rsid w:val="168E0B29"/>
    <w:rsid w:val="169706AE"/>
    <w:rsid w:val="16971202"/>
    <w:rsid w:val="1698607C"/>
    <w:rsid w:val="169D4DEC"/>
    <w:rsid w:val="16A40230"/>
    <w:rsid w:val="16A6025D"/>
    <w:rsid w:val="16AD2E93"/>
    <w:rsid w:val="16AE155D"/>
    <w:rsid w:val="16B60E24"/>
    <w:rsid w:val="16B73278"/>
    <w:rsid w:val="16B95ED8"/>
    <w:rsid w:val="16BF743B"/>
    <w:rsid w:val="16C0346B"/>
    <w:rsid w:val="16C31989"/>
    <w:rsid w:val="16C44A98"/>
    <w:rsid w:val="16C91F5D"/>
    <w:rsid w:val="16CB3473"/>
    <w:rsid w:val="16CC32EB"/>
    <w:rsid w:val="16CF015B"/>
    <w:rsid w:val="16D845B0"/>
    <w:rsid w:val="16DA6F17"/>
    <w:rsid w:val="16DB2C48"/>
    <w:rsid w:val="16DC060E"/>
    <w:rsid w:val="16DC3093"/>
    <w:rsid w:val="16DE0197"/>
    <w:rsid w:val="16DE36AF"/>
    <w:rsid w:val="16E01E14"/>
    <w:rsid w:val="16E90326"/>
    <w:rsid w:val="16EF5D8C"/>
    <w:rsid w:val="16F06A95"/>
    <w:rsid w:val="16F100AF"/>
    <w:rsid w:val="16F92758"/>
    <w:rsid w:val="16FA0A4D"/>
    <w:rsid w:val="16FE147F"/>
    <w:rsid w:val="16FE5234"/>
    <w:rsid w:val="1701453A"/>
    <w:rsid w:val="170254B7"/>
    <w:rsid w:val="17036CB3"/>
    <w:rsid w:val="170524AD"/>
    <w:rsid w:val="170945A3"/>
    <w:rsid w:val="170976C9"/>
    <w:rsid w:val="170D6B49"/>
    <w:rsid w:val="171458E9"/>
    <w:rsid w:val="171476E9"/>
    <w:rsid w:val="17191FB1"/>
    <w:rsid w:val="171B7E32"/>
    <w:rsid w:val="171E610A"/>
    <w:rsid w:val="171F37D7"/>
    <w:rsid w:val="1725540B"/>
    <w:rsid w:val="172851A6"/>
    <w:rsid w:val="17351DB9"/>
    <w:rsid w:val="17393127"/>
    <w:rsid w:val="17422E25"/>
    <w:rsid w:val="17423214"/>
    <w:rsid w:val="17440F4E"/>
    <w:rsid w:val="17461694"/>
    <w:rsid w:val="17485D50"/>
    <w:rsid w:val="174903F6"/>
    <w:rsid w:val="174D4326"/>
    <w:rsid w:val="17503548"/>
    <w:rsid w:val="175E591B"/>
    <w:rsid w:val="17620AE6"/>
    <w:rsid w:val="1764322A"/>
    <w:rsid w:val="1764531C"/>
    <w:rsid w:val="17655ABA"/>
    <w:rsid w:val="176642AB"/>
    <w:rsid w:val="176B2070"/>
    <w:rsid w:val="176D14D2"/>
    <w:rsid w:val="176D7150"/>
    <w:rsid w:val="17706CD4"/>
    <w:rsid w:val="17717223"/>
    <w:rsid w:val="17732C4B"/>
    <w:rsid w:val="17794523"/>
    <w:rsid w:val="177B12E6"/>
    <w:rsid w:val="177C6A66"/>
    <w:rsid w:val="177E07FC"/>
    <w:rsid w:val="17805B1E"/>
    <w:rsid w:val="17813432"/>
    <w:rsid w:val="17835639"/>
    <w:rsid w:val="17855600"/>
    <w:rsid w:val="17860A46"/>
    <w:rsid w:val="178A208F"/>
    <w:rsid w:val="178A3414"/>
    <w:rsid w:val="178C0113"/>
    <w:rsid w:val="178D1B35"/>
    <w:rsid w:val="178D6858"/>
    <w:rsid w:val="178F5437"/>
    <w:rsid w:val="17945C8C"/>
    <w:rsid w:val="179540A4"/>
    <w:rsid w:val="17956CC1"/>
    <w:rsid w:val="17990DD4"/>
    <w:rsid w:val="17993F3A"/>
    <w:rsid w:val="17A30712"/>
    <w:rsid w:val="17A72EA0"/>
    <w:rsid w:val="17AE6614"/>
    <w:rsid w:val="17B4034A"/>
    <w:rsid w:val="17BC5C3E"/>
    <w:rsid w:val="17BD1567"/>
    <w:rsid w:val="17BE4E82"/>
    <w:rsid w:val="17C13630"/>
    <w:rsid w:val="17C142EC"/>
    <w:rsid w:val="17C1545E"/>
    <w:rsid w:val="17CF41F2"/>
    <w:rsid w:val="17D80C3B"/>
    <w:rsid w:val="17DE3E41"/>
    <w:rsid w:val="17DF6C02"/>
    <w:rsid w:val="17E12765"/>
    <w:rsid w:val="17E55F43"/>
    <w:rsid w:val="17EE6B69"/>
    <w:rsid w:val="17EF24AD"/>
    <w:rsid w:val="17F118FB"/>
    <w:rsid w:val="17F2310E"/>
    <w:rsid w:val="17F27D31"/>
    <w:rsid w:val="17F72E82"/>
    <w:rsid w:val="17F77A37"/>
    <w:rsid w:val="17FA334F"/>
    <w:rsid w:val="17FC3372"/>
    <w:rsid w:val="17FE4B96"/>
    <w:rsid w:val="18015BFF"/>
    <w:rsid w:val="18023379"/>
    <w:rsid w:val="18073D08"/>
    <w:rsid w:val="18074A56"/>
    <w:rsid w:val="1807600A"/>
    <w:rsid w:val="180905B4"/>
    <w:rsid w:val="180C5D46"/>
    <w:rsid w:val="18103F33"/>
    <w:rsid w:val="1814736E"/>
    <w:rsid w:val="181960F3"/>
    <w:rsid w:val="181B3A37"/>
    <w:rsid w:val="181E152E"/>
    <w:rsid w:val="18213CFB"/>
    <w:rsid w:val="18213EE3"/>
    <w:rsid w:val="18234559"/>
    <w:rsid w:val="18246640"/>
    <w:rsid w:val="18252AF9"/>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476DA"/>
    <w:rsid w:val="18486D78"/>
    <w:rsid w:val="18587C4F"/>
    <w:rsid w:val="185C086E"/>
    <w:rsid w:val="1860317A"/>
    <w:rsid w:val="186051A6"/>
    <w:rsid w:val="18672953"/>
    <w:rsid w:val="18697C3A"/>
    <w:rsid w:val="186A4932"/>
    <w:rsid w:val="186B5EAE"/>
    <w:rsid w:val="186C29AA"/>
    <w:rsid w:val="186E5FD9"/>
    <w:rsid w:val="18701469"/>
    <w:rsid w:val="18722FB4"/>
    <w:rsid w:val="18734825"/>
    <w:rsid w:val="1874361E"/>
    <w:rsid w:val="187522EC"/>
    <w:rsid w:val="18795AAD"/>
    <w:rsid w:val="187A4293"/>
    <w:rsid w:val="187F56E5"/>
    <w:rsid w:val="188A2474"/>
    <w:rsid w:val="188C17ED"/>
    <w:rsid w:val="1895157E"/>
    <w:rsid w:val="18984EF5"/>
    <w:rsid w:val="18A518FF"/>
    <w:rsid w:val="18A56117"/>
    <w:rsid w:val="18A574B1"/>
    <w:rsid w:val="18AF5D72"/>
    <w:rsid w:val="18B10CFB"/>
    <w:rsid w:val="18B542B4"/>
    <w:rsid w:val="18B62581"/>
    <w:rsid w:val="18B7242B"/>
    <w:rsid w:val="18BA29D6"/>
    <w:rsid w:val="18BB161F"/>
    <w:rsid w:val="18BB5702"/>
    <w:rsid w:val="18C02901"/>
    <w:rsid w:val="18C4619C"/>
    <w:rsid w:val="18C51F86"/>
    <w:rsid w:val="18C819C7"/>
    <w:rsid w:val="18C932B3"/>
    <w:rsid w:val="18C967A6"/>
    <w:rsid w:val="18CC367D"/>
    <w:rsid w:val="18CF1FCC"/>
    <w:rsid w:val="18CF54E2"/>
    <w:rsid w:val="18D23438"/>
    <w:rsid w:val="18D51E03"/>
    <w:rsid w:val="18D57F55"/>
    <w:rsid w:val="18DC2029"/>
    <w:rsid w:val="18DC6725"/>
    <w:rsid w:val="18E242AD"/>
    <w:rsid w:val="18E51EDB"/>
    <w:rsid w:val="18EC1DAC"/>
    <w:rsid w:val="18EC69AA"/>
    <w:rsid w:val="18F31374"/>
    <w:rsid w:val="18F324CC"/>
    <w:rsid w:val="18F44372"/>
    <w:rsid w:val="18F66DE3"/>
    <w:rsid w:val="18F76747"/>
    <w:rsid w:val="18FA727E"/>
    <w:rsid w:val="190071DD"/>
    <w:rsid w:val="19010A47"/>
    <w:rsid w:val="19052326"/>
    <w:rsid w:val="19087E5A"/>
    <w:rsid w:val="190B5982"/>
    <w:rsid w:val="190E24A2"/>
    <w:rsid w:val="190F1397"/>
    <w:rsid w:val="190F246E"/>
    <w:rsid w:val="1910107B"/>
    <w:rsid w:val="191672E7"/>
    <w:rsid w:val="19175D72"/>
    <w:rsid w:val="1922231E"/>
    <w:rsid w:val="1925257B"/>
    <w:rsid w:val="19285212"/>
    <w:rsid w:val="192B2DAB"/>
    <w:rsid w:val="192B526F"/>
    <w:rsid w:val="192B582F"/>
    <w:rsid w:val="192C2E02"/>
    <w:rsid w:val="192E1FEA"/>
    <w:rsid w:val="192F2041"/>
    <w:rsid w:val="193B13DC"/>
    <w:rsid w:val="193C5189"/>
    <w:rsid w:val="19420215"/>
    <w:rsid w:val="19423E7B"/>
    <w:rsid w:val="1942755D"/>
    <w:rsid w:val="19465D51"/>
    <w:rsid w:val="194679AF"/>
    <w:rsid w:val="1948038A"/>
    <w:rsid w:val="194A66F4"/>
    <w:rsid w:val="194C08BA"/>
    <w:rsid w:val="194C6683"/>
    <w:rsid w:val="19502F20"/>
    <w:rsid w:val="19546D47"/>
    <w:rsid w:val="19556234"/>
    <w:rsid w:val="19594AC8"/>
    <w:rsid w:val="195B0583"/>
    <w:rsid w:val="195E1092"/>
    <w:rsid w:val="19620449"/>
    <w:rsid w:val="19626451"/>
    <w:rsid w:val="19642537"/>
    <w:rsid w:val="19661490"/>
    <w:rsid w:val="196928B5"/>
    <w:rsid w:val="196F7717"/>
    <w:rsid w:val="19767890"/>
    <w:rsid w:val="197C33E6"/>
    <w:rsid w:val="197E4EC9"/>
    <w:rsid w:val="198A317C"/>
    <w:rsid w:val="198A5B9B"/>
    <w:rsid w:val="198E504F"/>
    <w:rsid w:val="198E7CC2"/>
    <w:rsid w:val="199123E3"/>
    <w:rsid w:val="19926290"/>
    <w:rsid w:val="19935571"/>
    <w:rsid w:val="199628D2"/>
    <w:rsid w:val="1997041E"/>
    <w:rsid w:val="19977F1D"/>
    <w:rsid w:val="19992712"/>
    <w:rsid w:val="19A055FC"/>
    <w:rsid w:val="19A259A1"/>
    <w:rsid w:val="19A47FBE"/>
    <w:rsid w:val="19A543A4"/>
    <w:rsid w:val="19A57902"/>
    <w:rsid w:val="19A633FC"/>
    <w:rsid w:val="19A64429"/>
    <w:rsid w:val="19A9542D"/>
    <w:rsid w:val="19AD4B02"/>
    <w:rsid w:val="19AE4746"/>
    <w:rsid w:val="19AF141B"/>
    <w:rsid w:val="19B10395"/>
    <w:rsid w:val="19B45EC6"/>
    <w:rsid w:val="19B625C8"/>
    <w:rsid w:val="19BA5552"/>
    <w:rsid w:val="19BB5600"/>
    <w:rsid w:val="19BC434C"/>
    <w:rsid w:val="19BF37BB"/>
    <w:rsid w:val="19BF6811"/>
    <w:rsid w:val="19C2694B"/>
    <w:rsid w:val="19C86125"/>
    <w:rsid w:val="19CB0EFE"/>
    <w:rsid w:val="19CF1CD7"/>
    <w:rsid w:val="19D03B31"/>
    <w:rsid w:val="19D80DFE"/>
    <w:rsid w:val="19D83EBC"/>
    <w:rsid w:val="19DC2EF0"/>
    <w:rsid w:val="19DE2508"/>
    <w:rsid w:val="19E01BE1"/>
    <w:rsid w:val="19E27436"/>
    <w:rsid w:val="19E73070"/>
    <w:rsid w:val="19E90F2D"/>
    <w:rsid w:val="19EA250B"/>
    <w:rsid w:val="19ED7B68"/>
    <w:rsid w:val="19EE122F"/>
    <w:rsid w:val="19EE54F7"/>
    <w:rsid w:val="19EF05E2"/>
    <w:rsid w:val="19F34D9A"/>
    <w:rsid w:val="19F451CF"/>
    <w:rsid w:val="19FA5943"/>
    <w:rsid w:val="1A020CAC"/>
    <w:rsid w:val="1A086C55"/>
    <w:rsid w:val="1A0C0B4A"/>
    <w:rsid w:val="1A163D2A"/>
    <w:rsid w:val="1A187219"/>
    <w:rsid w:val="1A1D412B"/>
    <w:rsid w:val="1A206E7F"/>
    <w:rsid w:val="1A251BFD"/>
    <w:rsid w:val="1A2671DD"/>
    <w:rsid w:val="1A29086A"/>
    <w:rsid w:val="1A291CE9"/>
    <w:rsid w:val="1A2933F0"/>
    <w:rsid w:val="1A295ED4"/>
    <w:rsid w:val="1A2979B4"/>
    <w:rsid w:val="1A2B340C"/>
    <w:rsid w:val="1A2D2FD6"/>
    <w:rsid w:val="1A326A5E"/>
    <w:rsid w:val="1A35314D"/>
    <w:rsid w:val="1A3621A1"/>
    <w:rsid w:val="1A3B0DCF"/>
    <w:rsid w:val="1A3B76BE"/>
    <w:rsid w:val="1A3F4787"/>
    <w:rsid w:val="1A4243B2"/>
    <w:rsid w:val="1A4351F7"/>
    <w:rsid w:val="1A435BC2"/>
    <w:rsid w:val="1A477904"/>
    <w:rsid w:val="1A4D3567"/>
    <w:rsid w:val="1A5576E1"/>
    <w:rsid w:val="1A574E8B"/>
    <w:rsid w:val="1A59248E"/>
    <w:rsid w:val="1A5B332D"/>
    <w:rsid w:val="1A5D418F"/>
    <w:rsid w:val="1A5E1696"/>
    <w:rsid w:val="1A605DAC"/>
    <w:rsid w:val="1A644E8B"/>
    <w:rsid w:val="1A671279"/>
    <w:rsid w:val="1A713623"/>
    <w:rsid w:val="1A72738E"/>
    <w:rsid w:val="1A7330E0"/>
    <w:rsid w:val="1A7401C9"/>
    <w:rsid w:val="1A746F7C"/>
    <w:rsid w:val="1A767810"/>
    <w:rsid w:val="1A7730FC"/>
    <w:rsid w:val="1A794088"/>
    <w:rsid w:val="1A795091"/>
    <w:rsid w:val="1A7C1335"/>
    <w:rsid w:val="1A7F4433"/>
    <w:rsid w:val="1A84713F"/>
    <w:rsid w:val="1A8616BD"/>
    <w:rsid w:val="1A864E70"/>
    <w:rsid w:val="1A891BA3"/>
    <w:rsid w:val="1A8F4F1E"/>
    <w:rsid w:val="1A901FBE"/>
    <w:rsid w:val="1A904E3C"/>
    <w:rsid w:val="1A907D69"/>
    <w:rsid w:val="1A966027"/>
    <w:rsid w:val="1A981D7B"/>
    <w:rsid w:val="1A991640"/>
    <w:rsid w:val="1AA33EAF"/>
    <w:rsid w:val="1AA95DF0"/>
    <w:rsid w:val="1AA964C5"/>
    <w:rsid w:val="1AAA22C3"/>
    <w:rsid w:val="1AAC5EBD"/>
    <w:rsid w:val="1AB64C6B"/>
    <w:rsid w:val="1AB8464E"/>
    <w:rsid w:val="1AB86D73"/>
    <w:rsid w:val="1ABB3433"/>
    <w:rsid w:val="1ABE6357"/>
    <w:rsid w:val="1AC05FAA"/>
    <w:rsid w:val="1AC41324"/>
    <w:rsid w:val="1AC67D29"/>
    <w:rsid w:val="1ACF3E37"/>
    <w:rsid w:val="1AD0751C"/>
    <w:rsid w:val="1AD077D2"/>
    <w:rsid w:val="1AD133D9"/>
    <w:rsid w:val="1AD24EB0"/>
    <w:rsid w:val="1AD54713"/>
    <w:rsid w:val="1AD610E7"/>
    <w:rsid w:val="1AD912C0"/>
    <w:rsid w:val="1ADE5B96"/>
    <w:rsid w:val="1AE51A87"/>
    <w:rsid w:val="1AE53A69"/>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86A7C"/>
    <w:rsid w:val="1B1926CB"/>
    <w:rsid w:val="1B203FFD"/>
    <w:rsid w:val="1B204CAA"/>
    <w:rsid w:val="1B265FC9"/>
    <w:rsid w:val="1B277C6B"/>
    <w:rsid w:val="1B3A63E1"/>
    <w:rsid w:val="1B3A6551"/>
    <w:rsid w:val="1B3D6F5D"/>
    <w:rsid w:val="1B3F232C"/>
    <w:rsid w:val="1B40255A"/>
    <w:rsid w:val="1B421FCA"/>
    <w:rsid w:val="1B435435"/>
    <w:rsid w:val="1B487E3D"/>
    <w:rsid w:val="1B5244B6"/>
    <w:rsid w:val="1B527FB6"/>
    <w:rsid w:val="1B55429F"/>
    <w:rsid w:val="1B5C4B10"/>
    <w:rsid w:val="1B5F774C"/>
    <w:rsid w:val="1B623C43"/>
    <w:rsid w:val="1B6D3289"/>
    <w:rsid w:val="1B6F310C"/>
    <w:rsid w:val="1B71108F"/>
    <w:rsid w:val="1B7D6CAD"/>
    <w:rsid w:val="1B7E0DF5"/>
    <w:rsid w:val="1B8B5725"/>
    <w:rsid w:val="1B9078F4"/>
    <w:rsid w:val="1B966CFD"/>
    <w:rsid w:val="1B971428"/>
    <w:rsid w:val="1B9D15E7"/>
    <w:rsid w:val="1B9D1CD8"/>
    <w:rsid w:val="1BA11EB8"/>
    <w:rsid w:val="1BA43A43"/>
    <w:rsid w:val="1BA65768"/>
    <w:rsid w:val="1BAD3EDE"/>
    <w:rsid w:val="1BAF5983"/>
    <w:rsid w:val="1BB07692"/>
    <w:rsid w:val="1BB17B69"/>
    <w:rsid w:val="1BB2123C"/>
    <w:rsid w:val="1BB54342"/>
    <w:rsid w:val="1BB92B27"/>
    <w:rsid w:val="1BBF70DC"/>
    <w:rsid w:val="1BC42E8F"/>
    <w:rsid w:val="1BC64F9D"/>
    <w:rsid w:val="1BCB3253"/>
    <w:rsid w:val="1BD17D6C"/>
    <w:rsid w:val="1BD40132"/>
    <w:rsid w:val="1BD40EFB"/>
    <w:rsid w:val="1BD85300"/>
    <w:rsid w:val="1BD93FE1"/>
    <w:rsid w:val="1BD97F62"/>
    <w:rsid w:val="1BDA0217"/>
    <w:rsid w:val="1BDE2826"/>
    <w:rsid w:val="1BE05A00"/>
    <w:rsid w:val="1BE60A89"/>
    <w:rsid w:val="1BE81846"/>
    <w:rsid w:val="1BEA07EC"/>
    <w:rsid w:val="1BEA1399"/>
    <w:rsid w:val="1BEA3E5A"/>
    <w:rsid w:val="1BED5DF9"/>
    <w:rsid w:val="1BF00CF9"/>
    <w:rsid w:val="1BF70226"/>
    <w:rsid w:val="1BF813CD"/>
    <w:rsid w:val="1BFC4EEB"/>
    <w:rsid w:val="1C012DC3"/>
    <w:rsid w:val="1C0313F0"/>
    <w:rsid w:val="1C035E16"/>
    <w:rsid w:val="1C070D09"/>
    <w:rsid w:val="1C081779"/>
    <w:rsid w:val="1C086588"/>
    <w:rsid w:val="1C097162"/>
    <w:rsid w:val="1C0A656E"/>
    <w:rsid w:val="1C0A7F59"/>
    <w:rsid w:val="1C0D548D"/>
    <w:rsid w:val="1C0E5AF8"/>
    <w:rsid w:val="1C114C4D"/>
    <w:rsid w:val="1C16147F"/>
    <w:rsid w:val="1C176961"/>
    <w:rsid w:val="1C177722"/>
    <w:rsid w:val="1C1C6556"/>
    <w:rsid w:val="1C23366C"/>
    <w:rsid w:val="1C252769"/>
    <w:rsid w:val="1C272A3F"/>
    <w:rsid w:val="1C292096"/>
    <w:rsid w:val="1C2A7C88"/>
    <w:rsid w:val="1C2D02F8"/>
    <w:rsid w:val="1C3019B6"/>
    <w:rsid w:val="1C312867"/>
    <w:rsid w:val="1C316A8C"/>
    <w:rsid w:val="1C327EC7"/>
    <w:rsid w:val="1C352099"/>
    <w:rsid w:val="1C353688"/>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606999"/>
    <w:rsid w:val="1C6479C6"/>
    <w:rsid w:val="1C650DE0"/>
    <w:rsid w:val="1C65681C"/>
    <w:rsid w:val="1C6611FF"/>
    <w:rsid w:val="1C667A4D"/>
    <w:rsid w:val="1C733A6E"/>
    <w:rsid w:val="1C787478"/>
    <w:rsid w:val="1C7911F5"/>
    <w:rsid w:val="1C7A4B33"/>
    <w:rsid w:val="1C7E582F"/>
    <w:rsid w:val="1C850CD4"/>
    <w:rsid w:val="1C87286B"/>
    <w:rsid w:val="1C87533D"/>
    <w:rsid w:val="1C8854E2"/>
    <w:rsid w:val="1C8A3DE3"/>
    <w:rsid w:val="1C8B0CC4"/>
    <w:rsid w:val="1C8E68B1"/>
    <w:rsid w:val="1C946042"/>
    <w:rsid w:val="1C973362"/>
    <w:rsid w:val="1C9A1338"/>
    <w:rsid w:val="1C9C1C3D"/>
    <w:rsid w:val="1C9D7804"/>
    <w:rsid w:val="1CA46AA4"/>
    <w:rsid w:val="1CA47480"/>
    <w:rsid w:val="1CA72CCC"/>
    <w:rsid w:val="1CA86F01"/>
    <w:rsid w:val="1CAA0938"/>
    <w:rsid w:val="1CAC364D"/>
    <w:rsid w:val="1CAC48C5"/>
    <w:rsid w:val="1CAF26D0"/>
    <w:rsid w:val="1CB148FF"/>
    <w:rsid w:val="1CB15744"/>
    <w:rsid w:val="1CB52689"/>
    <w:rsid w:val="1CB60AD5"/>
    <w:rsid w:val="1CB84ED0"/>
    <w:rsid w:val="1CBC1FFD"/>
    <w:rsid w:val="1CBD037E"/>
    <w:rsid w:val="1CC22612"/>
    <w:rsid w:val="1CC448CE"/>
    <w:rsid w:val="1CCB2C88"/>
    <w:rsid w:val="1CCE31C9"/>
    <w:rsid w:val="1CD12FFD"/>
    <w:rsid w:val="1CD16FC7"/>
    <w:rsid w:val="1CD46190"/>
    <w:rsid w:val="1CD7400B"/>
    <w:rsid w:val="1CDA4707"/>
    <w:rsid w:val="1CDC2916"/>
    <w:rsid w:val="1CDD2804"/>
    <w:rsid w:val="1CE3085E"/>
    <w:rsid w:val="1CE43CA1"/>
    <w:rsid w:val="1CEC5A44"/>
    <w:rsid w:val="1CF13010"/>
    <w:rsid w:val="1CF370BF"/>
    <w:rsid w:val="1D030D3A"/>
    <w:rsid w:val="1D065265"/>
    <w:rsid w:val="1D076427"/>
    <w:rsid w:val="1D087F09"/>
    <w:rsid w:val="1D0C1972"/>
    <w:rsid w:val="1D0C1DDC"/>
    <w:rsid w:val="1D0D0561"/>
    <w:rsid w:val="1D132ACA"/>
    <w:rsid w:val="1D153CC9"/>
    <w:rsid w:val="1D1E65B8"/>
    <w:rsid w:val="1D1F0A85"/>
    <w:rsid w:val="1D1F5E42"/>
    <w:rsid w:val="1D222A1E"/>
    <w:rsid w:val="1D24539A"/>
    <w:rsid w:val="1D2939BE"/>
    <w:rsid w:val="1D2B0F93"/>
    <w:rsid w:val="1D2C04D0"/>
    <w:rsid w:val="1D2E65D9"/>
    <w:rsid w:val="1D2E7C7B"/>
    <w:rsid w:val="1D315EEC"/>
    <w:rsid w:val="1D316B5C"/>
    <w:rsid w:val="1D320508"/>
    <w:rsid w:val="1D3E50AC"/>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6007C1"/>
    <w:rsid w:val="1D6425BA"/>
    <w:rsid w:val="1D666714"/>
    <w:rsid w:val="1D6A6450"/>
    <w:rsid w:val="1D6C52DC"/>
    <w:rsid w:val="1D6C751F"/>
    <w:rsid w:val="1D70796F"/>
    <w:rsid w:val="1D7917EF"/>
    <w:rsid w:val="1D7B68D3"/>
    <w:rsid w:val="1D7C09D6"/>
    <w:rsid w:val="1D7D4C76"/>
    <w:rsid w:val="1D7F1235"/>
    <w:rsid w:val="1D82031E"/>
    <w:rsid w:val="1D855F2F"/>
    <w:rsid w:val="1D8709FC"/>
    <w:rsid w:val="1D883C0C"/>
    <w:rsid w:val="1D9131C0"/>
    <w:rsid w:val="1D9259FC"/>
    <w:rsid w:val="1D932CF5"/>
    <w:rsid w:val="1D9460DE"/>
    <w:rsid w:val="1DA400B0"/>
    <w:rsid w:val="1DA51ECE"/>
    <w:rsid w:val="1DA66029"/>
    <w:rsid w:val="1DA84041"/>
    <w:rsid w:val="1DA93265"/>
    <w:rsid w:val="1DA96CDC"/>
    <w:rsid w:val="1DAF513F"/>
    <w:rsid w:val="1DB33C53"/>
    <w:rsid w:val="1DB447C8"/>
    <w:rsid w:val="1DB80A24"/>
    <w:rsid w:val="1DBA16E3"/>
    <w:rsid w:val="1DBF1E64"/>
    <w:rsid w:val="1DC1491C"/>
    <w:rsid w:val="1DC555FD"/>
    <w:rsid w:val="1DC60F0D"/>
    <w:rsid w:val="1DCC31D5"/>
    <w:rsid w:val="1DD16DAA"/>
    <w:rsid w:val="1DD33028"/>
    <w:rsid w:val="1DD60645"/>
    <w:rsid w:val="1DD95E1B"/>
    <w:rsid w:val="1DE071F3"/>
    <w:rsid w:val="1DE25A01"/>
    <w:rsid w:val="1DF25E52"/>
    <w:rsid w:val="1DF51026"/>
    <w:rsid w:val="1DF62D17"/>
    <w:rsid w:val="1DF93C8F"/>
    <w:rsid w:val="1DFA6008"/>
    <w:rsid w:val="1DFF5A71"/>
    <w:rsid w:val="1E0078D1"/>
    <w:rsid w:val="1E03278E"/>
    <w:rsid w:val="1E0434A1"/>
    <w:rsid w:val="1E09388F"/>
    <w:rsid w:val="1E0A63E5"/>
    <w:rsid w:val="1E0B21F5"/>
    <w:rsid w:val="1E0B3CFF"/>
    <w:rsid w:val="1E0B5255"/>
    <w:rsid w:val="1E0B7097"/>
    <w:rsid w:val="1E0F1C2C"/>
    <w:rsid w:val="1E10481B"/>
    <w:rsid w:val="1E11773E"/>
    <w:rsid w:val="1E122944"/>
    <w:rsid w:val="1E167FA6"/>
    <w:rsid w:val="1E197B55"/>
    <w:rsid w:val="1E1A488E"/>
    <w:rsid w:val="1E1E022A"/>
    <w:rsid w:val="1E1E2ADB"/>
    <w:rsid w:val="1E253531"/>
    <w:rsid w:val="1E264901"/>
    <w:rsid w:val="1E267E84"/>
    <w:rsid w:val="1E291941"/>
    <w:rsid w:val="1E2B5964"/>
    <w:rsid w:val="1E2F798D"/>
    <w:rsid w:val="1E300851"/>
    <w:rsid w:val="1E301FEE"/>
    <w:rsid w:val="1E343DC7"/>
    <w:rsid w:val="1E365A90"/>
    <w:rsid w:val="1E3C5518"/>
    <w:rsid w:val="1E3C5B16"/>
    <w:rsid w:val="1E3E45C2"/>
    <w:rsid w:val="1E3E62A6"/>
    <w:rsid w:val="1E3F5F71"/>
    <w:rsid w:val="1E4059E9"/>
    <w:rsid w:val="1E43293B"/>
    <w:rsid w:val="1E435574"/>
    <w:rsid w:val="1E4421BA"/>
    <w:rsid w:val="1E4713DB"/>
    <w:rsid w:val="1E49220A"/>
    <w:rsid w:val="1E4D6A6C"/>
    <w:rsid w:val="1E4F283D"/>
    <w:rsid w:val="1E5554D9"/>
    <w:rsid w:val="1E5940B7"/>
    <w:rsid w:val="1E5D4FE3"/>
    <w:rsid w:val="1E6039E2"/>
    <w:rsid w:val="1E630C59"/>
    <w:rsid w:val="1E665C48"/>
    <w:rsid w:val="1E6900A7"/>
    <w:rsid w:val="1E6A6905"/>
    <w:rsid w:val="1E6C5DC4"/>
    <w:rsid w:val="1E725D58"/>
    <w:rsid w:val="1E726EBB"/>
    <w:rsid w:val="1E750784"/>
    <w:rsid w:val="1E765974"/>
    <w:rsid w:val="1E7D557D"/>
    <w:rsid w:val="1E7E4CB6"/>
    <w:rsid w:val="1E7E5286"/>
    <w:rsid w:val="1E8209D7"/>
    <w:rsid w:val="1E83199F"/>
    <w:rsid w:val="1E8A3684"/>
    <w:rsid w:val="1E8B6141"/>
    <w:rsid w:val="1E8C077C"/>
    <w:rsid w:val="1E8E412E"/>
    <w:rsid w:val="1E912F39"/>
    <w:rsid w:val="1E941393"/>
    <w:rsid w:val="1E967B2C"/>
    <w:rsid w:val="1E974386"/>
    <w:rsid w:val="1E991C63"/>
    <w:rsid w:val="1E994431"/>
    <w:rsid w:val="1E9A2D4D"/>
    <w:rsid w:val="1EA00733"/>
    <w:rsid w:val="1EA31D3F"/>
    <w:rsid w:val="1EA33475"/>
    <w:rsid w:val="1EA413F6"/>
    <w:rsid w:val="1EA51FFC"/>
    <w:rsid w:val="1EA96187"/>
    <w:rsid w:val="1EAC020A"/>
    <w:rsid w:val="1EAD1197"/>
    <w:rsid w:val="1EAD4715"/>
    <w:rsid w:val="1EB0609A"/>
    <w:rsid w:val="1EB43275"/>
    <w:rsid w:val="1EB772BC"/>
    <w:rsid w:val="1EB85929"/>
    <w:rsid w:val="1EBF4CD5"/>
    <w:rsid w:val="1ECB2149"/>
    <w:rsid w:val="1ECE1B03"/>
    <w:rsid w:val="1ECE723E"/>
    <w:rsid w:val="1ED47EAE"/>
    <w:rsid w:val="1ED55822"/>
    <w:rsid w:val="1EE133D1"/>
    <w:rsid w:val="1EE66B75"/>
    <w:rsid w:val="1EE82B1F"/>
    <w:rsid w:val="1EE83BBB"/>
    <w:rsid w:val="1EEA0B27"/>
    <w:rsid w:val="1EEC1AE0"/>
    <w:rsid w:val="1EEC3E9A"/>
    <w:rsid w:val="1EEF34D5"/>
    <w:rsid w:val="1EF1666E"/>
    <w:rsid w:val="1EF47C22"/>
    <w:rsid w:val="1EFB26CD"/>
    <w:rsid w:val="1EFB41E9"/>
    <w:rsid w:val="1EFB52F7"/>
    <w:rsid w:val="1EFD50BF"/>
    <w:rsid w:val="1F030A54"/>
    <w:rsid w:val="1F0A6660"/>
    <w:rsid w:val="1F0A6B45"/>
    <w:rsid w:val="1F113D7D"/>
    <w:rsid w:val="1F123E71"/>
    <w:rsid w:val="1F1A0620"/>
    <w:rsid w:val="1F1B3A11"/>
    <w:rsid w:val="1F2D7DE6"/>
    <w:rsid w:val="1F2E587C"/>
    <w:rsid w:val="1F302536"/>
    <w:rsid w:val="1F310F7D"/>
    <w:rsid w:val="1F370F08"/>
    <w:rsid w:val="1F3827D6"/>
    <w:rsid w:val="1F3965C5"/>
    <w:rsid w:val="1F3F7CB8"/>
    <w:rsid w:val="1F436A7F"/>
    <w:rsid w:val="1F4377ED"/>
    <w:rsid w:val="1F4446D7"/>
    <w:rsid w:val="1F454DA9"/>
    <w:rsid w:val="1F477D89"/>
    <w:rsid w:val="1F487569"/>
    <w:rsid w:val="1F4C2218"/>
    <w:rsid w:val="1F4C5A2D"/>
    <w:rsid w:val="1F504A65"/>
    <w:rsid w:val="1F507664"/>
    <w:rsid w:val="1F52777A"/>
    <w:rsid w:val="1F544B9B"/>
    <w:rsid w:val="1F596D21"/>
    <w:rsid w:val="1F5C7493"/>
    <w:rsid w:val="1F5E5154"/>
    <w:rsid w:val="1F6037D1"/>
    <w:rsid w:val="1F60519C"/>
    <w:rsid w:val="1F61588F"/>
    <w:rsid w:val="1F632E27"/>
    <w:rsid w:val="1F637F5A"/>
    <w:rsid w:val="1F6C419C"/>
    <w:rsid w:val="1F6D5577"/>
    <w:rsid w:val="1F6F4D2C"/>
    <w:rsid w:val="1F7232F8"/>
    <w:rsid w:val="1F735ED1"/>
    <w:rsid w:val="1F741D84"/>
    <w:rsid w:val="1F764C52"/>
    <w:rsid w:val="1F796A42"/>
    <w:rsid w:val="1F7C64ED"/>
    <w:rsid w:val="1F802382"/>
    <w:rsid w:val="1F833875"/>
    <w:rsid w:val="1F864FF3"/>
    <w:rsid w:val="1F875566"/>
    <w:rsid w:val="1F8E4E2E"/>
    <w:rsid w:val="1F927123"/>
    <w:rsid w:val="1F9A2894"/>
    <w:rsid w:val="1F9A4525"/>
    <w:rsid w:val="1F9A7DD3"/>
    <w:rsid w:val="1FA32465"/>
    <w:rsid w:val="1FA35CF7"/>
    <w:rsid w:val="1FA71D9E"/>
    <w:rsid w:val="1FAA54F7"/>
    <w:rsid w:val="1FB234B9"/>
    <w:rsid w:val="1FB966AC"/>
    <w:rsid w:val="1FBB7F64"/>
    <w:rsid w:val="1FC849C1"/>
    <w:rsid w:val="1FC93C5E"/>
    <w:rsid w:val="1FCA5D82"/>
    <w:rsid w:val="1FCD474B"/>
    <w:rsid w:val="1FCE0626"/>
    <w:rsid w:val="1FCE543E"/>
    <w:rsid w:val="1FD840A8"/>
    <w:rsid w:val="1FD8675A"/>
    <w:rsid w:val="1FE63835"/>
    <w:rsid w:val="1FE87655"/>
    <w:rsid w:val="1FE91010"/>
    <w:rsid w:val="1FE911E9"/>
    <w:rsid w:val="1FEA7C4D"/>
    <w:rsid w:val="1FED0EE5"/>
    <w:rsid w:val="1FED1708"/>
    <w:rsid w:val="1FED3BB1"/>
    <w:rsid w:val="1FF00B32"/>
    <w:rsid w:val="1FF4310A"/>
    <w:rsid w:val="1FF70657"/>
    <w:rsid w:val="1FFA0129"/>
    <w:rsid w:val="1FFD19AA"/>
    <w:rsid w:val="200044F3"/>
    <w:rsid w:val="20015673"/>
    <w:rsid w:val="20072690"/>
    <w:rsid w:val="20074038"/>
    <w:rsid w:val="20076D0E"/>
    <w:rsid w:val="200E01A2"/>
    <w:rsid w:val="200E03D3"/>
    <w:rsid w:val="200F45A3"/>
    <w:rsid w:val="200F64FD"/>
    <w:rsid w:val="201240B3"/>
    <w:rsid w:val="20127684"/>
    <w:rsid w:val="20144224"/>
    <w:rsid w:val="201629C6"/>
    <w:rsid w:val="201648C3"/>
    <w:rsid w:val="20173126"/>
    <w:rsid w:val="201E5B71"/>
    <w:rsid w:val="20217602"/>
    <w:rsid w:val="20243140"/>
    <w:rsid w:val="20256BF3"/>
    <w:rsid w:val="202607A4"/>
    <w:rsid w:val="202904CB"/>
    <w:rsid w:val="202A66BB"/>
    <w:rsid w:val="202E1138"/>
    <w:rsid w:val="202E7722"/>
    <w:rsid w:val="20325E0C"/>
    <w:rsid w:val="2035501C"/>
    <w:rsid w:val="203971E9"/>
    <w:rsid w:val="203D5472"/>
    <w:rsid w:val="203F1315"/>
    <w:rsid w:val="20422116"/>
    <w:rsid w:val="204B6316"/>
    <w:rsid w:val="204C7C1A"/>
    <w:rsid w:val="204D6F97"/>
    <w:rsid w:val="20506ECE"/>
    <w:rsid w:val="20507F06"/>
    <w:rsid w:val="20517C71"/>
    <w:rsid w:val="20594BEA"/>
    <w:rsid w:val="20596EAE"/>
    <w:rsid w:val="205A6767"/>
    <w:rsid w:val="205C19D4"/>
    <w:rsid w:val="205D4887"/>
    <w:rsid w:val="20611AF5"/>
    <w:rsid w:val="2063268B"/>
    <w:rsid w:val="20636415"/>
    <w:rsid w:val="206A1605"/>
    <w:rsid w:val="206D525E"/>
    <w:rsid w:val="2078160F"/>
    <w:rsid w:val="207A7253"/>
    <w:rsid w:val="207C2B34"/>
    <w:rsid w:val="207D2005"/>
    <w:rsid w:val="20854EC2"/>
    <w:rsid w:val="208916D3"/>
    <w:rsid w:val="208C58CE"/>
    <w:rsid w:val="208D42FB"/>
    <w:rsid w:val="208E570E"/>
    <w:rsid w:val="2092239D"/>
    <w:rsid w:val="209A2749"/>
    <w:rsid w:val="209C395F"/>
    <w:rsid w:val="209C3EAA"/>
    <w:rsid w:val="209F6049"/>
    <w:rsid w:val="20A12AB5"/>
    <w:rsid w:val="20AD27CE"/>
    <w:rsid w:val="20B04FF9"/>
    <w:rsid w:val="20B200A0"/>
    <w:rsid w:val="20B45672"/>
    <w:rsid w:val="20B5033C"/>
    <w:rsid w:val="20B54A61"/>
    <w:rsid w:val="20B863FE"/>
    <w:rsid w:val="20BB4E88"/>
    <w:rsid w:val="20BB5F07"/>
    <w:rsid w:val="20BC23DF"/>
    <w:rsid w:val="20C03C60"/>
    <w:rsid w:val="20C215F3"/>
    <w:rsid w:val="20C872AC"/>
    <w:rsid w:val="20C976CD"/>
    <w:rsid w:val="20CA278B"/>
    <w:rsid w:val="20CB0D21"/>
    <w:rsid w:val="20CB74DE"/>
    <w:rsid w:val="20D50E20"/>
    <w:rsid w:val="20D71F67"/>
    <w:rsid w:val="20DB4340"/>
    <w:rsid w:val="20DD681B"/>
    <w:rsid w:val="20E17A9F"/>
    <w:rsid w:val="20EB2066"/>
    <w:rsid w:val="20ED0892"/>
    <w:rsid w:val="20ED3ED7"/>
    <w:rsid w:val="20EF51C8"/>
    <w:rsid w:val="20F13F32"/>
    <w:rsid w:val="20F17E97"/>
    <w:rsid w:val="20F453F7"/>
    <w:rsid w:val="20F54434"/>
    <w:rsid w:val="20F627FE"/>
    <w:rsid w:val="20F81429"/>
    <w:rsid w:val="20FE48A8"/>
    <w:rsid w:val="20FE4BBD"/>
    <w:rsid w:val="21003A34"/>
    <w:rsid w:val="2103608A"/>
    <w:rsid w:val="21062211"/>
    <w:rsid w:val="210F68A1"/>
    <w:rsid w:val="21130101"/>
    <w:rsid w:val="21156B41"/>
    <w:rsid w:val="211D790C"/>
    <w:rsid w:val="2120090B"/>
    <w:rsid w:val="2123470E"/>
    <w:rsid w:val="212815C7"/>
    <w:rsid w:val="212D0011"/>
    <w:rsid w:val="212F4816"/>
    <w:rsid w:val="213542E9"/>
    <w:rsid w:val="213848AB"/>
    <w:rsid w:val="21395E01"/>
    <w:rsid w:val="21396844"/>
    <w:rsid w:val="213B5D42"/>
    <w:rsid w:val="213D76B7"/>
    <w:rsid w:val="213E6702"/>
    <w:rsid w:val="213E73FB"/>
    <w:rsid w:val="214114FB"/>
    <w:rsid w:val="2143203B"/>
    <w:rsid w:val="2143692E"/>
    <w:rsid w:val="21452AE2"/>
    <w:rsid w:val="2148417B"/>
    <w:rsid w:val="214A277A"/>
    <w:rsid w:val="214E5B11"/>
    <w:rsid w:val="214F2FE1"/>
    <w:rsid w:val="21516AF2"/>
    <w:rsid w:val="21521A6E"/>
    <w:rsid w:val="21551670"/>
    <w:rsid w:val="21553ADF"/>
    <w:rsid w:val="21580349"/>
    <w:rsid w:val="215A567B"/>
    <w:rsid w:val="215D1808"/>
    <w:rsid w:val="215E091A"/>
    <w:rsid w:val="215F24F2"/>
    <w:rsid w:val="215F56B2"/>
    <w:rsid w:val="21651DC2"/>
    <w:rsid w:val="21652E75"/>
    <w:rsid w:val="216C27BE"/>
    <w:rsid w:val="216C6B87"/>
    <w:rsid w:val="216E1782"/>
    <w:rsid w:val="2175003E"/>
    <w:rsid w:val="2175149D"/>
    <w:rsid w:val="217A71B3"/>
    <w:rsid w:val="21830FF3"/>
    <w:rsid w:val="21836721"/>
    <w:rsid w:val="218414ED"/>
    <w:rsid w:val="21893D10"/>
    <w:rsid w:val="218F158A"/>
    <w:rsid w:val="219354AA"/>
    <w:rsid w:val="21953839"/>
    <w:rsid w:val="2196788C"/>
    <w:rsid w:val="219B271D"/>
    <w:rsid w:val="219E3E3D"/>
    <w:rsid w:val="219F16C7"/>
    <w:rsid w:val="219F606C"/>
    <w:rsid w:val="21A96958"/>
    <w:rsid w:val="21AB075D"/>
    <w:rsid w:val="21AC0E6A"/>
    <w:rsid w:val="21AC24FA"/>
    <w:rsid w:val="21AF17F1"/>
    <w:rsid w:val="21B34081"/>
    <w:rsid w:val="21B76CF4"/>
    <w:rsid w:val="21BC401D"/>
    <w:rsid w:val="21BF1C5A"/>
    <w:rsid w:val="21C14825"/>
    <w:rsid w:val="21C21C33"/>
    <w:rsid w:val="21C71FBB"/>
    <w:rsid w:val="21CC7D65"/>
    <w:rsid w:val="21CE24B2"/>
    <w:rsid w:val="21CE5A08"/>
    <w:rsid w:val="21CF45CB"/>
    <w:rsid w:val="21D036B5"/>
    <w:rsid w:val="21D51DF1"/>
    <w:rsid w:val="21D8516F"/>
    <w:rsid w:val="21D96D07"/>
    <w:rsid w:val="21DC4656"/>
    <w:rsid w:val="21E44555"/>
    <w:rsid w:val="21E5678C"/>
    <w:rsid w:val="21E8009D"/>
    <w:rsid w:val="21EC66F9"/>
    <w:rsid w:val="21EE4508"/>
    <w:rsid w:val="21F009F3"/>
    <w:rsid w:val="21F27385"/>
    <w:rsid w:val="21F77479"/>
    <w:rsid w:val="21F80754"/>
    <w:rsid w:val="21FA31BA"/>
    <w:rsid w:val="21FC0C1F"/>
    <w:rsid w:val="21FC3EF4"/>
    <w:rsid w:val="21FC7EF1"/>
    <w:rsid w:val="22010B46"/>
    <w:rsid w:val="2201584C"/>
    <w:rsid w:val="220E6EFF"/>
    <w:rsid w:val="2211114D"/>
    <w:rsid w:val="221500FE"/>
    <w:rsid w:val="22160E61"/>
    <w:rsid w:val="22170083"/>
    <w:rsid w:val="221924B2"/>
    <w:rsid w:val="221E4044"/>
    <w:rsid w:val="222971A9"/>
    <w:rsid w:val="222E4B36"/>
    <w:rsid w:val="222F05E6"/>
    <w:rsid w:val="22335E59"/>
    <w:rsid w:val="2238124D"/>
    <w:rsid w:val="22423AF1"/>
    <w:rsid w:val="22445136"/>
    <w:rsid w:val="22447536"/>
    <w:rsid w:val="224744C4"/>
    <w:rsid w:val="224B0DB4"/>
    <w:rsid w:val="224E5016"/>
    <w:rsid w:val="225001F4"/>
    <w:rsid w:val="225102A2"/>
    <w:rsid w:val="22550A45"/>
    <w:rsid w:val="22583396"/>
    <w:rsid w:val="22633C26"/>
    <w:rsid w:val="22645458"/>
    <w:rsid w:val="22645AE4"/>
    <w:rsid w:val="22663911"/>
    <w:rsid w:val="2267507A"/>
    <w:rsid w:val="226A1DE5"/>
    <w:rsid w:val="226D0C21"/>
    <w:rsid w:val="226F2BB2"/>
    <w:rsid w:val="22705F4B"/>
    <w:rsid w:val="22721973"/>
    <w:rsid w:val="22721E20"/>
    <w:rsid w:val="227418B2"/>
    <w:rsid w:val="22796A25"/>
    <w:rsid w:val="227E2860"/>
    <w:rsid w:val="228808E1"/>
    <w:rsid w:val="22882272"/>
    <w:rsid w:val="228F635F"/>
    <w:rsid w:val="228F7972"/>
    <w:rsid w:val="229F2244"/>
    <w:rsid w:val="229F5B62"/>
    <w:rsid w:val="22A220C7"/>
    <w:rsid w:val="22A470B5"/>
    <w:rsid w:val="22A60C83"/>
    <w:rsid w:val="22B34A57"/>
    <w:rsid w:val="22B80B17"/>
    <w:rsid w:val="22B90065"/>
    <w:rsid w:val="22BB51F8"/>
    <w:rsid w:val="22C02C2F"/>
    <w:rsid w:val="22C03051"/>
    <w:rsid w:val="22C32DD8"/>
    <w:rsid w:val="22C5446D"/>
    <w:rsid w:val="22C56511"/>
    <w:rsid w:val="22C715DD"/>
    <w:rsid w:val="22CC1BC1"/>
    <w:rsid w:val="22CC2448"/>
    <w:rsid w:val="22CE0929"/>
    <w:rsid w:val="22CF79CB"/>
    <w:rsid w:val="22D030BB"/>
    <w:rsid w:val="22D25F3B"/>
    <w:rsid w:val="22D6669B"/>
    <w:rsid w:val="22D95C26"/>
    <w:rsid w:val="22DC4F9E"/>
    <w:rsid w:val="22DE51F5"/>
    <w:rsid w:val="22E047A1"/>
    <w:rsid w:val="22E16CFE"/>
    <w:rsid w:val="22E36089"/>
    <w:rsid w:val="22E6776A"/>
    <w:rsid w:val="22E8566B"/>
    <w:rsid w:val="22EA6268"/>
    <w:rsid w:val="22EA7FB3"/>
    <w:rsid w:val="22ED1151"/>
    <w:rsid w:val="22EF3AA1"/>
    <w:rsid w:val="22F0339E"/>
    <w:rsid w:val="22F260B3"/>
    <w:rsid w:val="22F773B9"/>
    <w:rsid w:val="23014B3D"/>
    <w:rsid w:val="23042807"/>
    <w:rsid w:val="23075061"/>
    <w:rsid w:val="230A64F4"/>
    <w:rsid w:val="2310193C"/>
    <w:rsid w:val="2314181E"/>
    <w:rsid w:val="2317727F"/>
    <w:rsid w:val="231B2D00"/>
    <w:rsid w:val="231F519D"/>
    <w:rsid w:val="232020A5"/>
    <w:rsid w:val="23247DA8"/>
    <w:rsid w:val="23263DF4"/>
    <w:rsid w:val="232A727C"/>
    <w:rsid w:val="232C192C"/>
    <w:rsid w:val="233072E9"/>
    <w:rsid w:val="23312C2E"/>
    <w:rsid w:val="23341961"/>
    <w:rsid w:val="23346745"/>
    <w:rsid w:val="233C2D00"/>
    <w:rsid w:val="233D00E7"/>
    <w:rsid w:val="233F4DCF"/>
    <w:rsid w:val="23434E07"/>
    <w:rsid w:val="23451D8D"/>
    <w:rsid w:val="23485BD1"/>
    <w:rsid w:val="234D0B77"/>
    <w:rsid w:val="234D5840"/>
    <w:rsid w:val="2350118C"/>
    <w:rsid w:val="23510955"/>
    <w:rsid w:val="23550E3B"/>
    <w:rsid w:val="2358023D"/>
    <w:rsid w:val="2358116C"/>
    <w:rsid w:val="23585D58"/>
    <w:rsid w:val="235B5D92"/>
    <w:rsid w:val="235F75E7"/>
    <w:rsid w:val="23607971"/>
    <w:rsid w:val="2361058D"/>
    <w:rsid w:val="23727A3F"/>
    <w:rsid w:val="23732E42"/>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602BE"/>
    <w:rsid w:val="23A63296"/>
    <w:rsid w:val="23A856CF"/>
    <w:rsid w:val="23A91586"/>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A4E5D"/>
    <w:rsid w:val="23DC78BC"/>
    <w:rsid w:val="23E64F34"/>
    <w:rsid w:val="23E75469"/>
    <w:rsid w:val="23E9433B"/>
    <w:rsid w:val="23EC2899"/>
    <w:rsid w:val="23ED2BCC"/>
    <w:rsid w:val="23EE1A0B"/>
    <w:rsid w:val="23EE32CE"/>
    <w:rsid w:val="23F22BF1"/>
    <w:rsid w:val="23F33C73"/>
    <w:rsid w:val="23F650B1"/>
    <w:rsid w:val="240050CB"/>
    <w:rsid w:val="24060D25"/>
    <w:rsid w:val="24086D79"/>
    <w:rsid w:val="240F66A9"/>
    <w:rsid w:val="24105171"/>
    <w:rsid w:val="24106B56"/>
    <w:rsid w:val="24107D2B"/>
    <w:rsid w:val="241157A7"/>
    <w:rsid w:val="24191817"/>
    <w:rsid w:val="24191D8F"/>
    <w:rsid w:val="241F1881"/>
    <w:rsid w:val="242148AF"/>
    <w:rsid w:val="24285E1D"/>
    <w:rsid w:val="243270CB"/>
    <w:rsid w:val="243D017A"/>
    <w:rsid w:val="243F6D31"/>
    <w:rsid w:val="244059FE"/>
    <w:rsid w:val="244340B3"/>
    <w:rsid w:val="24444FD4"/>
    <w:rsid w:val="24464871"/>
    <w:rsid w:val="244A34E7"/>
    <w:rsid w:val="245045AC"/>
    <w:rsid w:val="245D17E8"/>
    <w:rsid w:val="245E7BF1"/>
    <w:rsid w:val="24651C4F"/>
    <w:rsid w:val="24696713"/>
    <w:rsid w:val="246F7D44"/>
    <w:rsid w:val="24706349"/>
    <w:rsid w:val="24711307"/>
    <w:rsid w:val="24712DF5"/>
    <w:rsid w:val="24731BCB"/>
    <w:rsid w:val="24754CB4"/>
    <w:rsid w:val="247769A4"/>
    <w:rsid w:val="24784120"/>
    <w:rsid w:val="247A0B6D"/>
    <w:rsid w:val="24821C44"/>
    <w:rsid w:val="24822A2F"/>
    <w:rsid w:val="248A1D6B"/>
    <w:rsid w:val="248A2891"/>
    <w:rsid w:val="248B587E"/>
    <w:rsid w:val="248D1D37"/>
    <w:rsid w:val="24962F88"/>
    <w:rsid w:val="24965CCD"/>
    <w:rsid w:val="24975BE5"/>
    <w:rsid w:val="24991F99"/>
    <w:rsid w:val="24992F68"/>
    <w:rsid w:val="249D6F0E"/>
    <w:rsid w:val="249F4CC6"/>
    <w:rsid w:val="24A03D43"/>
    <w:rsid w:val="24A40035"/>
    <w:rsid w:val="24A77B3C"/>
    <w:rsid w:val="24AB13AF"/>
    <w:rsid w:val="24AB6028"/>
    <w:rsid w:val="24B10DC1"/>
    <w:rsid w:val="24B22A0D"/>
    <w:rsid w:val="24B331B5"/>
    <w:rsid w:val="24B3371E"/>
    <w:rsid w:val="24B37F87"/>
    <w:rsid w:val="24B94F60"/>
    <w:rsid w:val="24BE00A1"/>
    <w:rsid w:val="24C671AD"/>
    <w:rsid w:val="24C80E72"/>
    <w:rsid w:val="24D264D0"/>
    <w:rsid w:val="24D26DD6"/>
    <w:rsid w:val="24D8775D"/>
    <w:rsid w:val="24DB4363"/>
    <w:rsid w:val="24DC520B"/>
    <w:rsid w:val="24DE25AB"/>
    <w:rsid w:val="24E5269B"/>
    <w:rsid w:val="24EC41B0"/>
    <w:rsid w:val="24EE263C"/>
    <w:rsid w:val="24EF13F1"/>
    <w:rsid w:val="24F54873"/>
    <w:rsid w:val="24F96709"/>
    <w:rsid w:val="24F978B1"/>
    <w:rsid w:val="24FA10BC"/>
    <w:rsid w:val="24FC5ED3"/>
    <w:rsid w:val="24FE3045"/>
    <w:rsid w:val="250333BB"/>
    <w:rsid w:val="250907A3"/>
    <w:rsid w:val="250D00F8"/>
    <w:rsid w:val="250F4D4B"/>
    <w:rsid w:val="251B6D90"/>
    <w:rsid w:val="251C2A03"/>
    <w:rsid w:val="251D01B7"/>
    <w:rsid w:val="251E725C"/>
    <w:rsid w:val="25261539"/>
    <w:rsid w:val="25280B25"/>
    <w:rsid w:val="25285778"/>
    <w:rsid w:val="252B3115"/>
    <w:rsid w:val="252E0B34"/>
    <w:rsid w:val="253009E7"/>
    <w:rsid w:val="25314B2C"/>
    <w:rsid w:val="2531784F"/>
    <w:rsid w:val="25340661"/>
    <w:rsid w:val="25360886"/>
    <w:rsid w:val="253709F7"/>
    <w:rsid w:val="253B0AC1"/>
    <w:rsid w:val="253D75BE"/>
    <w:rsid w:val="253E1721"/>
    <w:rsid w:val="254106FC"/>
    <w:rsid w:val="25431853"/>
    <w:rsid w:val="254546F8"/>
    <w:rsid w:val="254876B3"/>
    <w:rsid w:val="254B70A1"/>
    <w:rsid w:val="254B76A2"/>
    <w:rsid w:val="255513D2"/>
    <w:rsid w:val="255A50C8"/>
    <w:rsid w:val="255B49B3"/>
    <w:rsid w:val="255C1932"/>
    <w:rsid w:val="255E294F"/>
    <w:rsid w:val="25605508"/>
    <w:rsid w:val="25692DFE"/>
    <w:rsid w:val="256B4DA9"/>
    <w:rsid w:val="256D6BF2"/>
    <w:rsid w:val="257745C3"/>
    <w:rsid w:val="257779B7"/>
    <w:rsid w:val="257803EE"/>
    <w:rsid w:val="257D18E3"/>
    <w:rsid w:val="257E7110"/>
    <w:rsid w:val="258251CA"/>
    <w:rsid w:val="25874CB7"/>
    <w:rsid w:val="258A7CED"/>
    <w:rsid w:val="258C615A"/>
    <w:rsid w:val="2593605B"/>
    <w:rsid w:val="259431DD"/>
    <w:rsid w:val="25956522"/>
    <w:rsid w:val="25962013"/>
    <w:rsid w:val="25962066"/>
    <w:rsid w:val="25976F1C"/>
    <w:rsid w:val="259774BC"/>
    <w:rsid w:val="25995069"/>
    <w:rsid w:val="259A58F5"/>
    <w:rsid w:val="259C0A22"/>
    <w:rsid w:val="259D1CF8"/>
    <w:rsid w:val="259D4784"/>
    <w:rsid w:val="259F5C22"/>
    <w:rsid w:val="25A2698E"/>
    <w:rsid w:val="25A35665"/>
    <w:rsid w:val="25A370D8"/>
    <w:rsid w:val="25A642E7"/>
    <w:rsid w:val="25A659B8"/>
    <w:rsid w:val="25AE4BB6"/>
    <w:rsid w:val="25B01C96"/>
    <w:rsid w:val="25BA5FD6"/>
    <w:rsid w:val="25BC5A7D"/>
    <w:rsid w:val="25C338EC"/>
    <w:rsid w:val="25C613D4"/>
    <w:rsid w:val="25C722A0"/>
    <w:rsid w:val="25C93D16"/>
    <w:rsid w:val="25CA4650"/>
    <w:rsid w:val="25CE4101"/>
    <w:rsid w:val="25D03D3D"/>
    <w:rsid w:val="25D242AC"/>
    <w:rsid w:val="25D2700D"/>
    <w:rsid w:val="25D37D50"/>
    <w:rsid w:val="25D67F69"/>
    <w:rsid w:val="25DA3546"/>
    <w:rsid w:val="25DE7808"/>
    <w:rsid w:val="25E327EF"/>
    <w:rsid w:val="25E62027"/>
    <w:rsid w:val="25E6527D"/>
    <w:rsid w:val="25F01888"/>
    <w:rsid w:val="25F35250"/>
    <w:rsid w:val="25F67CD3"/>
    <w:rsid w:val="25F71F4B"/>
    <w:rsid w:val="25FC75AF"/>
    <w:rsid w:val="26034949"/>
    <w:rsid w:val="26040C06"/>
    <w:rsid w:val="2606125C"/>
    <w:rsid w:val="260D34D1"/>
    <w:rsid w:val="26164EC4"/>
    <w:rsid w:val="26193912"/>
    <w:rsid w:val="26197FFF"/>
    <w:rsid w:val="261B5B78"/>
    <w:rsid w:val="261B6EC1"/>
    <w:rsid w:val="26292DB6"/>
    <w:rsid w:val="262B57F5"/>
    <w:rsid w:val="262D3E96"/>
    <w:rsid w:val="262D5251"/>
    <w:rsid w:val="26316C79"/>
    <w:rsid w:val="2633043C"/>
    <w:rsid w:val="26340AC3"/>
    <w:rsid w:val="26342E81"/>
    <w:rsid w:val="26404BEC"/>
    <w:rsid w:val="264204E2"/>
    <w:rsid w:val="2643057C"/>
    <w:rsid w:val="264A2245"/>
    <w:rsid w:val="264A3E95"/>
    <w:rsid w:val="264B1ACA"/>
    <w:rsid w:val="264F78C8"/>
    <w:rsid w:val="2651747C"/>
    <w:rsid w:val="26564BED"/>
    <w:rsid w:val="2656623A"/>
    <w:rsid w:val="2659575B"/>
    <w:rsid w:val="265A0E1E"/>
    <w:rsid w:val="265A2793"/>
    <w:rsid w:val="26613ECA"/>
    <w:rsid w:val="26622AE4"/>
    <w:rsid w:val="2663123F"/>
    <w:rsid w:val="266339E8"/>
    <w:rsid w:val="266565C7"/>
    <w:rsid w:val="26686CC3"/>
    <w:rsid w:val="266D7FD5"/>
    <w:rsid w:val="26725883"/>
    <w:rsid w:val="26737526"/>
    <w:rsid w:val="26744EA0"/>
    <w:rsid w:val="267B6EC2"/>
    <w:rsid w:val="267E2BF4"/>
    <w:rsid w:val="26872E00"/>
    <w:rsid w:val="26886695"/>
    <w:rsid w:val="268A2240"/>
    <w:rsid w:val="268E0894"/>
    <w:rsid w:val="26916DB8"/>
    <w:rsid w:val="26955EFE"/>
    <w:rsid w:val="269837EF"/>
    <w:rsid w:val="269D560D"/>
    <w:rsid w:val="26A4086B"/>
    <w:rsid w:val="26A527E1"/>
    <w:rsid w:val="26A84125"/>
    <w:rsid w:val="26AA70AB"/>
    <w:rsid w:val="26AD35FE"/>
    <w:rsid w:val="26AF7EB1"/>
    <w:rsid w:val="26B03757"/>
    <w:rsid w:val="26B21B08"/>
    <w:rsid w:val="26B24ECF"/>
    <w:rsid w:val="26B308DC"/>
    <w:rsid w:val="26B572AB"/>
    <w:rsid w:val="26B776B1"/>
    <w:rsid w:val="26B8558F"/>
    <w:rsid w:val="26BA10B7"/>
    <w:rsid w:val="26BA7CF8"/>
    <w:rsid w:val="26C03942"/>
    <w:rsid w:val="26C518B8"/>
    <w:rsid w:val="26C5793A"/>
    <w:rsid w:val="26C95870"/>
    <w:rsid w:val="26C95C2B"/>
    <w:rsid w:val="26CC5F73"/>
    <w:rsid w:val="26CE2F0A"/>
    <w:rsid w:val="26CF27C0"/>
    <w:rsid w:val="26CF63D9"/>
    <w:rsid w:val="26D07CC0"/>
    <w:rsid w:val="26D62980"/>
    <w:rsid w:val="26D82E82"/>
    <w:rsid w:val="26D9017F"/>
    <w:rsid w:val="26DD3C37"/>
    <w:rsid w:val="26DF22F7"/>
    <w:rsid w:val="26E45D21"/>
    <w:rsid w:val="26EF797D"/>
    <w:rsid w:val="26F0116E"/>
    <w:rsid w:val="26F104CD"/>
    <w:rsid w:val="26FC3727"/>
    <w:rsid w:val="26FE5EF3"/>
    <w:rsid w:val="27007DB1"/>
    <w:rsid w:val="27023FD8"/>
    <w:rsid w:val="270268FC"/>
    <w:rsid w:val="270A184E"/>
    <w:rsid w:val="270B3BA8"/>
    <w:rsid w:val="27115F5E"/>
    <w:rsid w:val="271438F4"/>
    <w:rsid w:val="27146B11"/>
    <w:rsid w:val="27181BBE"/>
    <w:rsid w:val="272201E2"/>
    <w:rsid w:val="27233E96"/>
    <w:rsid w:val="2726557A"/>
    <w:rsid w:val="272A2343"/>
    <w:rsid w:val="273067C6"/>
    <w:rsid w:val="27321F5C"/>
    <w:rsid w:val="273C0919"/>
    <w:rsid w:val="273E15AB"/>
    <w:rsid w:val="274159F7"/>
    <w:rsid w:val="274507A3"/>
    <w:rsid w:val="27456AC6"/>
    <w:rsid w:val="27470345"/>
    <w:rsid w:val="27492EA8"/>
    <w:rsid w:val="274B09CE"/>
    <w:rsid w:val="275269EE"/>
    <w:rsid w:val="27576E44"/>
    <w:rsid w:val="276010D4"/>
    <w:rsid w:val="27614F78"/>
    <w:rsid w:val="27636FAC"/>
    <w:rsid w:val="27653B8D"/>
    <w:rsid w:val="27665108"/>
    <w:rsid w:val="276B0663"/>
    <w:rsid w:val="276C47FF"/>
    <w:rsid w:val="277605D3"/>
    <w:rsid w:val="277973C8"/>
    <w:rsid w:val="277B5ECB"/>
    <w:rsid w:val="277C2691"/>
    <w:rsid w:val="277D0164"/>
    <w:rsid w:val="2781273A"/>
    <w:rsid w:val="27880564"/>
    <w:rsid w:val="27883D7D"/>
    <w:rsid w:val="27885CEA"/>
    <w:rsid w:val="278C4BFF"/>
    <w:rsid w:val="278E5245"/>
    <w:rsid w:val="279025EE"/>
    <w:rsid w:val="27924A6D"/>
    <w:rsid w:val="27991CF6"/>
    <w:rsid w:val="279925AA"/>
    <w:rsid w:val="27994CDE"/>
    <w:rsid w:val="279E3CC1"/>
    <w:rsid w:val="279E4BA1"/>
    <w:rsid w:val="27A45A7E"/>
    <w:rsid w:val="27A71EC1"/>
    <w:rsid w:val="27AA4362"/>
    <w:rsid w:val="27AA4C8D"/>
    <w:rsid w:val="27AF12EF"/>
    <w:rsid w:val="27B056BE"/>
    <w:rsid w:val="27B153F8"/>
    <w:rsid w:val="27B47525"/>
    <w:rsid w:val="27BE4CB5"/>
    <w:rsid w:val="27BF2FD9"/>
    <w:rsid w:val="27BF67BA"/>
    <w:rsid w:val="27C11C6D"/>
    <w:rsid w:val="27C60A21"/>
    <w:rsid w:val="27CD48D5"/>
    <w:rsid w:val="27CE27FE"/>
    <w:rsid w:val="27D021D8"/>
    <w:rsid w:val="27D36A26"/>
    <w:rsid w:val="27D52A36"/>
    <w:rsid w:val="27D54E77"/>
    <w:rsid w:val="27D84549"/>
    <w:rsid w:val="27DB4D1C"/>
    <w:rsid w:val="27DE1BFF"/>
    <w:rsid w:val="27E02798"/>
    <w:rsid w:val="27E44357"/>
    <w:rsid w:val="27E53CCB"/>
    <w:rsid w:val="27EA32D3"/>
    <w:rsid w:val="27EB7582"/>
    <w:rsid w:val="27F22F77"/>
    <w:rsid w:val="27F34EE4"/>
    <w:rsid w:val="27F75AC8"/>
    <w:rsid w:val="27F9211D"/>
    <w:rsid w:val="27FA342A"/>
    <w:rsid w:val="27FE07F9"/>
    <w:rsid w:val="280043D0"/>
    <w:rsid w:val="280E125B"/>
    <w:rsid w:val="280F0B82"/>
    <w:rsid w:val="28125E32"/>
    <w:rsid w:val="2814140F"/>
    <w:rsid w:val="281B518B"/>
    <w:rsid w:val="28214635"/>
    <w:rsid w:val="282928B7"/>
    <w:rsid w:val="28296666"/>
    <w:rsid w:val="283257B8"/>
    <w:rsid w:val="28336351"/>
    <w:rsid w:val="28352570"/>
    <w:rsid w:val="283A2E58"/>
    <w:rsid w:val="28410CFF"/>
    <w:rsid w:val="284154C8"/>
    <w:rsid w:val="28453EC7"/>
    <w:rsid w:val="284773A2"/>
    <w:rsid w:val="284D26F7"/>
    <w:rsid w:val="284D37AD"/>
    <w:rsid w:val="28502A30"/>
    <w:rsid w:val="28532EFE"/>
    <w:rsid w:val="285508D0"/>
    <w:rsid w:val="28586B9B"/>
    <w:rsid w:val="285C147D"/>
    <w:rsid w:val="285D6C2F"/>
    <w:rsid w:val="28607CE1"/>
    <w:rsid w:val="28611C46"/>
    <w:rsid w:val="28622E06"/>
    <w:rsid w:val="286606B2"/>
    <w:rsid w:val="286C46A8"/>
    <w:rsid w:val="286F63D7"/>
    <w:rsid w:val="28732E03"/>
    <w:rsid w:val="28760303"/>
    <w:rsid w:val="28781AC1"/>
    <w:rsid w:val="287B0A6F"/>
    <w:rsid w:val="287B4553"/>
    <w:rsid w:val="28800158"/>
    <w:rsid w:val="28820F44"/>
    <w:rsid w:val="288220FA"/>
    <w:rsid w:val="2884313F"/>
    <w:rsid w:val="288956F5"/>
    <w:rsid w:val="288D263D"/>
    <w:rsid w:val="28931C39"/>
    <w:rsid w:val="28941611"/>
    <w:rsid w:val="28953D90"/>
    <w:rsid w:val="28954BFC"/>
    <w:rsid w:val="2899164A"/>
    <w:rsid w:val="28A62874"/>
    <w:rsid w:val="28A66A75"/>
    <w:rsid w:val="28A7347C"/>
    <w:rsid w:val="28A9531B"/>
    <w:rsid w:val="28A95880"/>
    <w:rsid w:val="28B16E76"/>
    <w:rsid w:val="28B30B5A"/>
    <w:rsid w:val="28B52155"/>
    <w:rsid w:val="28BB456A"/>
    <w:rsid w:val="28BB497C"/>
    <w:rsid w:val="28BC1249"/>
    <w:rsid w:val="28BC17BC"/>
    <w:rsid w:val="28BC55B3"/>
    <w:rsid w:val="28BD2608"/>
    <w:rsid w:val="28BF4306"/>
    <w:rsid w:val="28BF59E6"/>
    <w:rsid w:val="28C11463"/>
    <w:rsid w:val="28C21203"/>
    <w:rsid w:val="28D56FEF"/>
    <w:rsid w:val="28D773A2"/>
    <w:rsid w:val="28DD48BC"/>
    <w:rsid w:val="28E069B4"/>
    <w:rsid w:val="28E17E2C"/>
    <w:rsid w:val="28E44161"/>
    <w:rsid w:val="28E474F2"/>
    <w:rsid w:val="28EE68DC"/>
    <w:rsid w:val="28F13785"/>
    <w:rsid w:val="28F333F3"/>
    <w:rsid w:val="28F50A4D"/>
    <w:rsid w:val="28F51632"/>
    <w:rsid w:val="28F63D52"/>
    <w:rsid w:val="28F70B89"/>
    <w:rsid w:val="28F826FC"/>
    <w:rsid w:val="28FA1728"/>
    <w:rsid w:val="28FB61AA"/>
    <w:rsid w:val="28FC2E4B"/>
    <w:rsid w:val="29046B1A"/>
    <w:rsid w:val="29047F8B"/>
    <w:rsid w:val="29070F98"/>
    <w:rsid w:val="29095C32"/>
    <w:rsid w:val="29105948"/>
    <w:rsid w:val="2911001D"/>
    <w:rsid w:val="291671BE"/>
    <w:rsid w:val="291A2BA6"/>
    <w:rsid w:val="291E162B"/>
    <w:rsid w:val="2928006B"/>
    <w:rsid w:val="29294232"/>
    <w:rsid w:val="292A1215"/>
    <w:rsid w:val="292C346D"/>
    <w:rsid w:val="292E488D"/>
    <w:rsid w:val="292F6266"/>
    <w:rsid w:val="2932177F"/>
    <w:rsid w:val="29362D60"/>
    <w:rsid w:val="293A1F66"/>
    <w:rsid w:val="293B4237"/>
    <w:rsid w:val="293B6623"/>
    <w:rsid w:val="293B6BC6"/>
    <w:rsid w:val="293C4A53"/>
    <w:rsid w:val="294438A1"/>
    <w:rsid w:val="29473510"/>
    <w:rsid w:val="29473AA4"/>
    <w:rsid w:val="294C3727"/>
    <w:rsid w:val="294F67CF"/>
    <w:rsid w:val="295072ED"/>
    <w:rsid w:val="29516A9C"/>
    <w:rsid w:val="2952282B"/>
    <w:rsid w:val="295336B3"/>
    <w:rsid w:val="295439EA"/>
    <w:rsid w:val="295643D9"/>
    <w:rsid w:val="29577D0C"/>
    <w:rsid w:val="29583C31"/>
    <w:rsid w:val="295C041A"/>
    <w:rsid w:val="2961437A"/>
    <w:rsid w:val="2962150E"/>
    <w:rsid w:val="29650515"/>
    <w:rsid w:val="296538B9"/>
    <w:rsid w:val="296760CB"/>
    <w:rsid w:val="296953DB"/>
    <w:rsid w:val="296A0F8E"/>
    <w:rsid w:val="296F770E"/>
    <w:rsid w:val="297077EA"/>
    <w:rsid w:val="2972757D"/>
    <w:rsid w:val="29752514"/>
    <w:rsid w:val="29772DE3"/>
    <w:rsid w:val="2978500B"/>
    <w:rsid w:val="297961EB"/>
    <w:rsid w:val="29797898"/>
    <w:rsid w:val="297B4969"/>
    <w:rsid w:val="297E42BA"/>
    <w:rsid w:val="298201B8"/>
    <w:rsid w:val="29882AE6"/>
    <w:rsid w:val="298B4D7C"/>
    <w:rsid w:val="2994256E"/>
    <w:rsid w:val="29966194"/>
    <w:rsid w:val="299770F9"/>
    <w:rsid w:val="299B07C3"/>
    <w:rsid w:val="299F6615"/>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CF5D45"/>
    <w:rsid w:val="29D53C17"/>
    <w:rsid w:val="29D658B7"/>
    <w:rsid w:val="29D85B12"/>
    <w:rsid w:val="29DD584D"/>
    <w:rsid w:val="29DF5F13"/>
    <w:rsid w:val="29E705C4"/>
    <w:rsid w:val="29E723AD"/>
    <w:rsid w:val="29E95E36"/>
    <w:rsid w:val="29EC7DCB"/>
    <w:rsid w:val="29EF4D36"/>
    <w:rsid w:val="29F21AFA"/>
    <w:rsid w:val="29F55680"/>
    <w:rsid w:val="29F6357B"/>
    <w:rsid w:val="29F64D54"/>
    <w:rsid w:val="2A0011E1"/>
    <w:rsid w:val="2A0345E7"/>
    <w:rsid w:val="2A056239"/>
    <w:rsid w:val="2A060928"/>
    <w:rsid w:val="2A0D3CE8"/>
    <w:rsid w:val="2A11757B"/>
    <w:rsid w:val="2A127934"/>
    <w:rsid w:val="2A173EF4"/>
    <w:rsid w:val="2A1A7380"/>
    <w:rsid w:val="2A1B5EC5"/>
    <w:rsid w:val="2A1B7318"/>
    <w:rsid w:val="2A1C2216"/>
    <w:rsid w:val="2A361CB2"/>
    <w:rsid w:val="2A36594F"/>
    <w:rsid w:val="2A3B3E69"/>
    <w:rsid w:val="2A3B4C1A"/>
    <w:rsid w:val="2A3F15E1"/>
    <w:rsid w:val="2A451545"/>
    <w:rsid w:val="2A467378"/>
    <w:rsid w:val="2A4A1E68"/>
    <w:rsid w:val="2A4B11DF"/>
    <w:rsid w:val="2A4F30C7"/>
    <w:rsid w:val="2A4F54C7"/>
    <w:rsid w:val="2A643488"/>
    <w:rsid w:val="2A6700F5"/>
    <w:rsid w:val="2A6E2A78"/>
    <w:rsid w:val="2A737DA4"/>
    <w:rsid w:val="2A767599"/>
    <w:rsid w:val="2A7C3E7B"/>
    <w:rsid w:val="2A7D56C7"/>
    <w:rsid w:val="2A800ECA"/>
    <w:rsid w:val="2A8050E9"/>
    <w:rsid w:val="2A805538"/>
    <w:rsid w:val="2A81027F"/>
    <w:rsid w:val="2A83424B"/>
    <w:rsid w:val="2A874DAC"/>
    <w:rsid w:val="2A8A343B"/>
    <w:rsid w:val="2A8A6F32"/>
    <w:rsid w:val="2A8E4066"/>
    <w:rsid w:val="2A917182"/>
    <w:rsid w:val="2A920759"/>
    <w:rsid w:val="2A946BDA"/>
    <w:rsid w:val="2A963E97"/>
    <w:rsid w:val="2A974BCB"/>
    <w:rsid w:val="2A9C49E4"/>
    <w:rsid w:val="2A9E2784"/>
    <w:rsid w:val="2A9E7623"/>
    <w:rsid w:val="2AA73DA7"/>
    <w:rsid w:val="2AA828F7"/>
    <w:rsid w:val="2AB05A23"/>
    <w:rsid w:val="2AB06AEF"/>
    <w:rsid w:val="2AB90F00"/>
    <w:rsid w:val="2ABB429B"/>
    <w:rsid w:val="2AC11D38"/>
    <w:rsid w:val="2AC175B9"/>
    <w:rsid w:val="2AC31C45"/>
    <w:rsid w:val="2AC64A5F"/>
    <w:rsid w:val="2AC73F22"/>
    <w:rsid w:val="2AC9741F"/>
    <w:rsid w:val="2ADA1FD1"/>
    <w:rsid w:val="2AE020A3"/>
    <w:rsid w:val="2AE24F5D"/>
    <w:rsid w:val="2AEC5EB6"/>
    <w:rsid w:val="2AF012D3"/>
    <w:rsid w:val="2AF2081B"/>
    <w:rsid w:val="2AF32409"/>
    <w:rsid w:val="2AFA5225"/>
    <w:rsid w:val="2B056378"/>
    <w:rsid w:val="2B0758FE"/>
    <w:rsid w:val="2B08119A"/>
    <w:rsid w:val="2B085178"/>
    <w:rsid w:val="2B090250"/>
    <w:rsid w:val="2B0B1C38"/>
    <w:rsid w:val="2B0D049D"/>
    <w:rsid w:val="2B165E66"/>
    <w:rsid w:val="2B183F05"/>
    <w:rsid w:val="2B1870C7"/>
    <w:rsid w:val="2B1C0044"/>
    <w:rsid w:val="2B1F35A9"/>
    <w:rsid w:val="2B200A00"/>
    <w:rsid w:val="2B227650"/>
    <w:rsid w:val="2B236535"/>
    <w:rsid w:val="2B245253"/>
    <w:rsid w:val="2B287EB6"/>
    <w:rsid w:val="2B2965B4"/>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537038"/>
    <w:rsid w:val="2B561F4D"/>
    <w:rsid w:val="2B5E4620"/>
    <w:rsid w:val="2B5F552F"/>
    <w:rsid w:val="2B683E0A"/>
    <w:rsid w:val="2B696B3A"/>
    <w:rsid w:val="2B6A480A"/>
    <w:rsid w:val="2B730BFC"/>
    <w:rsid w:val="2B754A48"/>
    <w:rsid w:val="2B77462E"/>
    <w:rsid w:val="2B79314A"/>
    <w:rsid w:val="2B7B7016"/>
    <w:rsid w:val="2B7F67B0"/>
    <w:rsid w:val="2B812FDE"/>
    <w:rsid w:val="2B8701B3"/>
    <w:rsid w:val="2B883017"/>
    <w:rsid w:val="2B883944"/>
    <w:rsid w:val="2B8B558C"/>
    <w:rsid w:val="2B8E299D"/>
    <w:rsid w:val="2B936667"/>
    <w:rsid w:val="2B990220"/>
    <w:rsid w:val="2B9C527E"/>
    <w:rsid w:val="2BA07465"/>
    <w:rsid w:val="2BA56072"/>
    <w:rsid w:val="2BA62DB5"/>
    <w:rsid w:val="2BA65058"/>
    <w:rsid w:val="2BA90775"/>
    <w:rsid w:val="2BAA4BC2"/>
    <w:rsid w:val="2BAF6A9E"/>
    <w:rsid w:val="2BB259E6"/>
    <w:rsid w:val="2BB404F2"/>
    <w:rsid w:val="2BB74F47"/>
    <w:rsid w:val="2BB93A98"/>
    <w:rsid w:val="2BBD5A31"/>
    <w:rsid w:val="2BC02CC7"/>
    <w:rsid w:val="2BC6205E"/>
    <w:rsid w:val="2BC62E2C"/>
    <w:rsid w:val="2BC636A5"/>
    <w:rsid w:val="2BCA539C"/>
    <w:rsid w:val="2BD035A4"/>
    <w:rsid w:val="2BD3485D"/>
    <w:rsid w:val="2BD70D04"/>
    <w:rsid w:val="2BDD0A0D"/>
    <w:rsid w:val="2BE07DCF"/>
    <w:rsid w:val="2BE11C92"/>
    <w:rsid w:val="2BEA572B"/>
    <w:rsid w:val="2BEF1332"/>
    <w:rsid w:val="2BF21E6B"/>
    <w:rsid w:val="2BF37482"/>
    <w:rsid w:val="2BF6090F"/>
    <w:rsid w:val="2BF62E38"/>
    <w:rsid w:val="2BFD1C9F"/>
    <w:rsid w:val="2BFE567C"/>
    <w:rsid w:val="2C014C9D"/>
    <w:rsid w:val="2C04740C"/>
    <w:rsid w:val="2C0504F8"/>
    <w:rsid w:val="2C0577B1"/>
    <w:rsid w:val="2C065B95"/>
    <w:rsid w:val="2C066957"/>
    <w:rsid w:val="2C087521"/>
    <w:rsid w:val="2C0C03C8"/>
    <w:rsid w:val="2C1A363B"/>
    <w:rsid w:val="2C1E5A47"/>
    <w:rsid w:val="2C227875"/>
    <w:rsid w:val="2C277821"/>
    <w:rsid w:val="2C283CD4"/>
    <w:rsid w:val="2C296900"/>
    <w:rsid w:val="2C2A1E40"/>
    <w:rsid w:val="2C2B1C7F"/>
    <w:rsid w:val="2C2E04EC"/>
    <w:rsid w:val="2C311769"/>
    <w:rsid w:val="2C3646C1"/>
    <w:rsid w:val="2C393940"/>
    <w:rsid w:val="2C3A1A27"/>
    <w:rsid w:val="2C433E00"/>
    <w:rsid w:val="2C436D28"/>
    <w:rsid w:val="2C496564"/>
    <w:rsid w:val="2C4A654B"/>
    <w:rsid w:val="2C4D619A"/>
    <w:rsid w:val="2C501603"/>
    <w:rsid w:val="2C530598"/>
    <w:rsid w:val="2C56735D"/>
    <w:rsid w:val="2C595A93"/>
    <w:rsid w:val="2C5B0F0A"/>
    <w:rsid w:val="2C5B1458"/>
    <w:rsid w:val="2C5F3E2E"/>
    <w:rsid w:val="2C617C53"/>
    <w:rsid w:val="2C624DD3"/>
    <w:rsid w:val="2C64282F"/>
    <w:rsid w:val="2C64504F"/>
    <w:rsid w:val="2C667518"/>
    <w:rsid w:val="2C682011"/>
    <w:rsid w:val="2C6A6AC2"/>
    <w:rsid w:val="2C746FA5"/>
    <w:rsid w:val="2C7631D7"/>
    <w:rsid w:val="2C790296"/>
    <w:rsid w:val="2C7B4B5D"/>
    <w:rsid w:val="2C7C3CDB"/>
    <w:rsid w:val="2C7E7AD5"/>
    <w:rsid w:val="2C8109DB"/>
    <w:rsid w:val="2C813C5A"/>
    <w:rsid w:val="2C816FF8"/>
    <w:rsid w:val="2C8636AE"/>
    <w:rsid w:val="2C8928F0"/>
    <w:rsid w:val="2C8C31C6"/>
    <w:rsid w:val="2C921350"/>
    <w:rsid w:val="2C923F36"/>
    <w:rsid w:val="2C93333C"/>
    <w:rsid w:val="2C93579A"/>
    <w:rsid w:val="2C95008B"/>
    <w:rsid w:val="2C961AF8"/>
    <w:rsid w:val="2C9756BF"/>
    <w:rsid w:val="2C977E34"/>
    <w:rsid w:val="2C9B3ED5"/>
    <w:rsid w:val="2C9E09D2"/>
    <w:rsid w:val="2C9E6F2B"/>
    <w:rsid w:val="2CA867F5"/>
    <w:rsid w:val="2CAA4958"/>
    <w:rsid w:val="2CAC1625"/>
    <w:rsid w:val="2CAD5B03"/>
    <w:rsid w:val="2CAE3B13"/>
    <w:rsid w:val="2CAF788B"/>
    <w:rsid w:val="2CB4427A"/>
    <w:rsid w:val="2CBA2D2A"/>
    <w:rsid w:val="2CC149EF"/>
    <w:rsid w:val="2CC31B10"/>
    <w:rsid w:val="2CC55B69"/>
    <w:rsid w:val="2CC6431A"/>
    <w:rsid w:val="2CC708B0"/>
    <w:rsid w:val="2CC75A03"/>
    <w:rsid w:val="2CC81FE0"/>
    <w:rsid w:val="2CC91BCD"/>
    <w:rsid w:val="2CCB0B34"/>
    <w:rsid w:val="2CCC7AC9"/>
    <w:rsid w:val="2CCF654A"/>
    <w:rsid w:val="2CD37602"/>
    <w:rsid w:val="2CD4654A"/>
    <w:rsid w:val="2CE22CD1"/>
    <w:rsid w:val="2CE803D3"/>
    <w:rsid w:val="2CE85007"/>
    <w:rsid w:val="2CEE15E1"/>
    <w:rsid w:val="2CEF416B"/>
    <w:rsid w:val="2CF06A3C"/>
    <w:rsid w:val="2CF238F5"/>
    <w:rsid w:val="2CF26F5B"/>
    <w:rsid w:val="2CF9058E"/>
    <w:rsid w:val="2CF911FA"/>
    <w:rsid w:val="2CFF086A"/>
    <w:rsid w:val="2D013861"/>
    <w:rsid w:val="2D053164"/>
    <w:rsid w:val="2D064B26"/>
    <w:rsid w:val="2D06761B"/>
    <w:rsid w:val="2D08107C"/>
    <w:rsid w:val="2D086932"/>
    <w:rsid w:val="2D104632"/>
    <w:rsid w:val="2D1E1466"/>
    <w:rsid w:val="2D2A3650"/>
    <w:rsid w:val="2D3072FE"/>
    <w:rsid w:val="2D31028B"/>
    <w:rsid w:val="2D356F9E"/>
    <w:rsid w:val="2D3C59C4"/>
    <w:rsid w:val="2D416432"/>
    <w:rsid w:val="2D445E5E"/>
    <w:rsid w:val="2D4537ED"/>
    <w:rsid w:val="2D4742A1"/>
    <w:rsid w:val="2D485D30"/>
    <w:rsid w:val="2D487A88"/>
    <w:rsid w:val="2D596A94"/>
    <w:rsid w:val="2D611688"/>
    <w:rsid w:val="2D650FA9"/>
    <w:rsid w:val="2D697719"/>
    <w:rsid w:val="2D6C388D"/>
    <w:rsid w:val="2D6F45D1"/>
    <w:rsid w:val="2D716D64"/>
    <w:rsid w:val="2D757761"/>
    <w:rsid w:val="2D774FFB"/>
    <w:rsid w:val="2D797FB2"/>
    <w:rsid w:val="2D7A5E7E"/>
    <w:rsid w:val="2D851160"/>
    <w:rsid w:val="2D8679AE"/>
    <w:rsid w:val="2D974D23"/>
    <w:rsid w:val="2D9B3D20"/>
    <w:rsid w:val="2D9D5926"/>
    <w:rsid w:val="2DA25C72"/>
    <w:rsid w:val="2DA26FD2"/>
    <w:rsid w:val="2DA33A10"/>
    <w:rsid w:val="2DA62658"/>
    <w:rsid w:val="2DAD0982"/>
    <w:rsid w:val="2DAF5D1C"/>
    <w:rsid w:val="2DB10A22"/>
    <w:rsid w:val="2DB222A2"/>
    <w:rsid w:val="2DB46B3D"/>
    <w:rsid w:val="2DB52669"/>
    <w:rsid w:val="2DBE0579"/>
    <w:rsid w:val="2DBE2A5D"/>
    <w:rsid w:val="2DBE4B43"/>
    <w:rsid w:val="2DBE7D96"/>
    <w:rsid w:val="2DC35F5D"/>
    <w:rsid w:val="2DC654DD"/>
    <w:rsid w:val="2DC75B1A"/>
    <w:rsid w:val="2DC80574"/>
    <w:rsid w:val="2DCC2144"/>
    <w:rsid w:val="2DD6379F"/>
    <w:rsid w:val="2DDB27A7"/>
    <w:rsid w:val="2DDB4B6D"/>
    <w:rsid w:val="2DE145C9"/>
    <w:rsid w:val="2DE5515E"/>
    <w:rsid w:val="2DED13BE"/>
    <w:rsid w:val="2DF47B81"/>
    <w:rsid w:val="2DF52FB9"/>
    <w:rsid w:val="2DF5552F"/>
    <w:rsid w:val="2DF73F30"/>
    <w:rsid w:val="2DF9136B"/>
    <w:rsid w:val="2DFA1D0C"/>
    <w:rsid w:val="2DFE6ACC"/>
    <w:rsid w:val="2E044853"/>
    <w:rsid w:val="2E0C7A4C"/>
    <w:rsid w:val="2E0D5208"/>
    <w:rsid w:val="2E0E4621"/>
    <w:rsid w:val="2E1121FD"/>
    <w:rsid w:val="2E143406"/>
    <w:rsid w:val="2E14569B"/>
    <w:rsid w:val="2E1502F0"/>
    <w:rsid w:val="2E1F1A31"/>
    <w:rsid w:val="2E205229"/>
    <w:rsid w:val="2E2C7176"/>
    <w:rsid w:val="2E2D1D61"/>
    <w:rsid w:val="2E2D3D34"/>
    <w:rsid w:val="2E353422"/>
    <w:rsid w:val="2E380991"/>
    <w:rsid w:val="2E3926C3"/>
    <w:rsid w:val="2E3C6173"/>
    <w:rsid w:val="2E4A731A"/>
    <w:rsid w:val="2E5024D8"/>
    <w:rsid w:val="2E5C4F9B"/>
    <w:rsid w:val="2E605AE6"/>
    <w:rsid w:val="2E643BF9"/>
    <w:rsid w:val="2E660A34"/>
    <w:rsid w:val="2E680509"/>
    <w:rsid w:val="2E686180"/>
    <w:rsid w:val="2E69530D"/>
    <w:rsid w:val="2E725AB5"/>
    <w:rsid w:val="2E8725F8"/>
    <w:rsid w:val="2E89270D"/>
    <w:rsid w:val="2E9101F7"/>
    <w:rsid w:val="2E9326A8"/>
    <w:rsid w:val="2E9344BB"/>
    <w:rsid w:val="2E962627"/>
    <w:rsid w:val="2EA23EF2"/>
    <w:rsid w:val="2EA469A3"/>
    <w:rsid w:val="2EA908CD"/>
    <w:rsid w:val="2EAA5EA7"/>
    <w:rsid w:val="2EAE08A6"/>
    <w:rsid w:val="2EAE4185"/>
    <w:rsid w:val="2EB15D4B"/>
    <w:rsid w:val="2EB953B3"/>
    <w:rsid w:val="2EBD58E5"/>
    <w:rsid w:val="2EC14E69"/>
    <w:rsid w:val="2EC517B2"/>
    <w:rsid w:val="2EC53771"/>
    <w:rsid w:val="2EC53E66"/>
    <w:rsid w:val="2ECA4FA6"/>
    <w:rsid w:val="2ECD0C40"/>
    <w:rsid w:val="2ECF267B"/>
    <w:rsid w:val="2ED26976"/>
    <w:rsid w:val="2ED60271"/>
    <w:rsid w:val="2EDC722F"/>
    <w:rsid w:val="2EDF7E4B"/>
    <w:rsid w:val="2EE04937"/>
    <w:rsid w:val="2EE0645B"/>
    <w:rsid w:val="2EE4485A"/>
    <w:rsid w:val="2EE52A03"/>
    <w:rsid w:val="2EE72F28"/>
    <w:rsid w:val="2EE813DE"/>
    <w:rsid w:val="2EEB1791"/>
    <w:rsid w:val="2EF14059"/>
    <w:rsid w:val="2EF66701"/>
    <w:rsid w:val="2EF83B5E"/>
    <w:rsid w:val="2EFB3FE6"/>
    <w:rsid w:val="2EFB595F"/>
    <w:rsid w:val="2EFE3AC4"/>
    <w:rsid w:val="2EFE61D0"/>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30191"/>
    <w:rsid w:val="2F285092"/>
    <w:rsid w:val="2F341AA2"/>
    <w:rsid w:val="2F370668"/>
    <w:rsid w:val="2F3D200F"/>
    <w:rsid w:val="2F402D6C"/>
    <w:rsid w:val="2F4575D0"/>
    <w:rsid w:val="2F490252"/>
    <w:rsid w:val="2F495570"/>
    <w:rsid w:val="2F4E4C44"/>
    <w:rsid w:val="2F4F2BD8"/>
    <w:rsid w:val="2F5C1641"/>
    <w:rsid w:val="2F6051BD"/>
    <w:rsid w:val="2F66155E"/>
    <w:rsid w:val="2F697088"/>
    <w:rsid w:val="2F725728"/>
    <w:rsid w:val="2F776C59"/>
    <w:rsid w:val="2F781F3C"/>
    <w:rsid w:val="2F791891"/>
    <w:rsid w:val="2F7F152E"/>
    <w:rsid w:val="2F811219"/>
    <w:rsid w:val="2F843638"/>
    <w:rsid w:val="2F877CDA"/>
    <w:rsid w:val="2F890849"/>
    <w:rsid w:val="2F940AA3"/>
    <w:rsid w:val="2F9A4E99"/>
    <w:rsid w:val="2F9F6B02"/>
    <w:rsid w:val="2F9F7778"/>
    <w:rsid w:val="2FA1288C"/>
    <w:rsid w:val="2FA13F69"/>
    <w:rsid w:val="2FA43916"/>
    <w:rsid w:val="2FA53649"/>
    <w:rsid w:val="2FA6434F"/>
    <w:rsid w:val="2FA707D7"/>
    <w:rsid w:val="2FA766BC"/>
    <w:rsid w:val="2FB113E5"/>
    <w:rsid w:val="2FB47BC5"/>
    <w:rsid w:val="2FB52841"/>
    <w:rsid w:val="2FB54744"/>
    <w:rsid w:val="2FB72CA0"/>
    <w:rsid w:val="2FBC3537"/>
    <w:rsid w:val="2FC601C1"/>
    <w:rsid w:val="2FC70CB8"/>
    <w:rsid w:val="2FC91B89"/>
    <w:rsid w:val="2FC97397"/>
    <w:rsid w:val="2FCA1C72"/>
    <w:rsid w:val="2FCB0E21"/>
    <w:rsid w:val="2FCD4B9C"/>
    <w:rsid w:val="2FCE24D5"/>
    <w:rsid w:val="2FCF2044"/>
    <w:rsid w:val="2FD626D3"/>
    <w:rsid w:val="2FD73D5F"/>
    <w:rsid w:val="2FD83F7A"/>
    <w:rsid w:val="2FD96CB9"/>
    <w:rsid w:val="2FDB4228"/>
    <w:rsid w:val="2FDB432B"/>
    <w:rsid w:val="2FDC6B98"/>
    <w:rsid w:val="2FDE7B08"/>
    <w:rsid w:val="2FDF68B6"/>
    <w:rsid w:val="2FE465CC"/>
    <w:rsid w:val="2FED56B0"/>
    <w:rsid w:val="2FF15596"/>
    <w:rsid w:val="2FF657DC"/>
    <w:rsid w:val="2FF67CA4"/>
    <w:rsid w:val="2FF82F3D"/>
    <w:rsid w:val="2FF86E27"/>
    <w:rsid w:val="2FFA70B1"/>
    <w:rsid w:val="2FFB7225"/>
    <w:rsid w:val="2FFE5F1C"/>
    <w:rsid w:val="300255C6"/>
    <w:rsid w:val="30066482"/>
    <w:rsid w:val="300E5103"/>
    <w:rsid w:val="30132A83"/>
    <w:rsid w:val="3014431F"/>
    <w:rsid w:val="30217AD5"/>
    <w:rsid w:val="30243ECE"/>
    <w:rsid w:val="30295059"/>
    <w:rsid w:val="302A479B"/>
    <w:rsid w:val="302C4F9C"/>
    <w:rsid w:val="302E2308"/>
    <w:rsid w:val="302E6A31"/>
    <w:rsid w:val="3034739C"/>
    <w:rsid w:val="30373403"/>
    <w:rsid w:val="303A40DD"/>
    <w:rsid w:val="304173D0"/>
    <w:rsid w:val="30442620"/>
    <w:rsid w:val="30482F54"/>
    <w:rsid w:val="3048314F"/>
    <w:rsid w:val="304B6BB7"/>
    <w:rsid w:val="304C4503"/>
    <w:rsid w:val="30526AC1"/>
    <w:rsid w:val="30530FD9"/>
    <w:rsid w:val="3054190C"/>
    <w:rsid w:val="30542470"/>
    <w:rsid w:val="305434AE"/>
    <w:rsid w:val="305613C1"/>
    <w:rsid w:val="305977D4"/>
    <w:rsid w:val="305B2D55"/>
    <w:rsid w:val="305D124C"/>
    <w:rsid w:val="305D74D4"/>
    <w:rsid w:val="305E65F1"/>
    <w:rsid w:val="3060486D"/>
    <w:rsid w:val="306767F3"/>
    <w:rsid w:val="306E1EF1"/>
    <w:rsid w:val="306E6922"/>
    <w:rsid w:val="30736236"/>
    <w:rsid w:val="30762FEA"/>
    <w:rsid w:val="30781681"/>
    <w:rsid w:val="307A0395"/>
    <w:rsid w:val="307D2377"/>
    <w:rsid w:val="307E4267"/>
    <w:rsid w:val="3080592C"/>
    <w:rsid w:val="308140F8"/>
    <w:rsid w:val="30832CE2"/>
    <w:rsid w:val="30904317"/>
    <w:rsid w:val="30910176"/>
    <w:rsid w:val="309444DE"/>
    <w:rsid w:val="30984AF5"/>
    <w:rsid w:val="309A5055"/>
    <w:rsid w:val="309D2147"/>
    <w:rsid w:val="30A85C99"/>
    <w:rsid w:val="30AA4130"/>
    <w:rsid w:val="30AB47C5"/>
    <w:rsid w:val="30AD4875"/>
    <w:rsid w:val="30B05988"/>
    <w:rsid w:val="30B7355D"/>
    <w:rsid w:val="30B94AC0"/>
    <w:rsid w:val="30C366D4"/>
    <w:rsid w:val="30C66D08"/>
    <w:rsid w:val="30CA1348"/>
    <w:rsid w:val="30D129BC"/>
    <w:rsid w:val="30D232F2"/>
    <w:rsid w:val="30D350FB"/>
    <w:rsid w:val="30D914CE"/>
    <w:rsid w:val="30DB72EF"/>
    <w:rsid w:val="30E01098"/>
    <w:rsid w:val="30E27D5F"/>
    <w:rsid w:val="30E31EEB"/>
    <w:rsid w:val="30E64CA0"/>
    <w:rsid w:val="30E7231F"/>
    <w:rsid w:val="30FA4CE6"/>
    <w:rsid w:val="30FC4EF7"/>
    <w:rsid w:val="31032659"/>
    <w:rsid w:val="31081AAA"/>
    <w:rsid w:val="31091CED"/>
    <w:rsid w:val="310F24E7"/>
    <w:rsid w:val="31121EC6"/>
    <w:rsid w:val="31157243"/>
    <w:rsid w:val="311C7FAB"/>
    <w:rsid w:val="31231685"/>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A94"/>
    <w:rsid w:val="31446452"/>
    <w:rsid w:val="314673FF"/>
    <w:rsid w:val="31475C31"/>
    <w:rsid w:val="314C6A63"/>
    <w:rsid w:val="31514052"/>
    <w:rsid w:val="31544FB1"/>
    <w:rsid w:val="31571977"/>
    <w:rsid w:val="31571C78"/>
    <w:rsid w:val="315B3B8B"/>
    <w:rsid w:val="315C54FC"/>
    <w:rsid w:val="31647F94"/>
    <w:rsid w:val="31683A6E"/>
    <w:rsid w:val="316E3000"/>
    <w:rsid w:val="316E471F"/>
    <w:rsid w:val="316F6E11"/>
    <w:rsid w:val="31723FFB"/>
    <w:rsid w:val="31725C00"/>
    <w:rsid w:val="317A104A"/>
    <w:rsid w:val="317F3FBE"/>
    <w:rsid w:val="31836A9D"/>
    <w:rsid w:val="31854832"/>
    <w:rsid w:val="31884274"/>
    <w:rsid w:val="318949FD"/>
    <w:rsid w:val="318B0F4D"/>
    <w:rsid w:val="318E6312"/>
    <w:rsid w:val="31924B17"/>
    <w:rsid w:val="31951990"/>
    <w:rsid w:val="319B2E7D"/>
    <w:rsid w:val="31A226AA"/>
    <w:rsid w:val="31A77430"/>
    <w:rsid w:val="31A85D10"/>
    <w:rsid w:val="31AD726B"/>
    <w:rsid w:val="31B17FEA"/>
    <w:rsid w:val="31B2657D"/>
    <w:rsid w:val="31B36DA6"/>
    <w:rsid w:val="31B76813"/>
    <w:rsid w:val="31BA34F9"/>
    <w:rsid w:val="31BC226A"/>
    <w:rsid w:val="31C0715C"/>
    <w:rsid w:val="31C14F32"/>
    <w:rsid w:val="31C4412F"/>
    <w:rsid w:val="31C52817"/>
    <w:rsid w:val="31C62574"/>
    <w:rsid w:val="31CB3016"/>
    <w:rsid w:val="31CD3CA4"/>
    <w:rsid w:val="31D2131E"/>
    <w:rsid w:val="31D51C36"/>
    <w:rsid w:val="31D540D9"/>
    <w:rsid w:val="31DE3A93"/>
    <w:rsid w:val="31E25BB5"/>
    <w:rsid w:val="31E52C31"/>
    <w:rsid w:val="31E52EB1"/>
    <w:rsid w:val="31E76A1E"/>
    <w:rsid w:val="31E9770D"/>
    <w:rsid w:val="31EA415E"/>
    <w:rsid w:val="31EE7E78"/>
    <w:rsid w:val="31F205B0"/>
    <w:rsid w:val="31F329DC"/>
    <w:rsid w:val="31F97DDD"/>
    <w:rsid w:val="32001F8B"/>
    <w:rsid w:val="32044B56"/>
    <w:rsid w:val="32057D4D"/>
    <w:rsid w:val="320B5911"/>
    <w:rsid w:val="320C003E"/>
    <w:rsid w:val="32136F2D"/>
    <w:rsid w:val="321A3515"/>
    <w:rsid w:val="321C63D7"/>
    <w:rsid w:val="321E137A"/>
    <w:rsid w:val="3221279F"/>
    <w:rsid w:val="32232D9C"/>
    <w:rsid w:val="32240257"/>
    <w:rsid w:val="32255778"/>
    <w:rsid w:val="322F4A9A"/>
    <w:rsid w:val="32312593"/>
    <w:rsid w:val="32315610"/>
    <w:rsid w:val="323159FD"/>
    <w:rsid w:val="32345AB7"/>
    <w:rsid w:val="323716E7"/>
    <w:rsid w:val="324068E4"/>
    <w:rsid w:val="324252A3"/>
    <w:rsid w:val="324378F4"/>
    <w:rsid w:val="32484AB1"/>
    <w:rsid w:val="32496576"/>
    <w:rsid w:val="324A0310"/>
    <w:rsid w:val="324C6902"/>
    <w:rsid w:val="324F7E77"/>
    <w:rsid w:val="32530870"/>
    <w:rsid w:val="325379A5"/>
    <w:rsid w:val="32573C38"/>
    <w:rsid w:val="325900F4"/>
    <w:rsid w:val="325962B9"/>
    <w:rsid w:val="325A0237"/>
    <w:rsid w:val="325B59EC"/>
    <w:rsid w:val="325C155E"/>
    <w:rsid w:val="325E2BBD"/>
    <w:rsid w:val="32603716"/>
    <w:rsid w:val="32667CE0"/>
    <w:rsid w:val="326C6CF3"/>
    <w:rsid w:val="326F2F5D"/>
    <w:rsid w:val="32743DEB"/>
    <w:rsid w:val="3275252B"/>
    <w:rsid w:val="32756405"/>
    <w:rsid w:val="32791354"/>
    <w:rsid w:val="3279408A"/>
    <w:rsid w:val="327C6750"/>
    <w:rsid w:val="327E4D99"/>
    <w:rsid w:val="327E6D1B"/>
    <w:rsid w:val="327F04D7"/>
    <w:rsid w:val="32812AE7"/>
    <w:rsid w:val="328B52E1"/>
    <w:rsid w:val="328F15CB"/>
    <w:rsid w:val="329B6717"/>
    <w:rsid w:val="32A37276"/>
    <w:rsid w:val="32A67BA6"/>
    <w:rsid w:val="32AD52CE"/>
    <w:rsid w:val="32AF69B0"/>
    <w:rsid w:val="32B21E52"/>
    <w:rsid w:val="32B30DFB"/>
    <w:rsid w:val="32B422DE"/>
    <w:rsid w:val="32BA5E3E"/>
    <w:rsid w:val="32BE5218"/>
    <w:rsid w:val="32BF1AAB"/>
    <w:rsid w:val="32C018D2"/>
    <w:rsid w:val="32C81855"/>
    <w:rsid w:val="32C84612"/>
    <w:rsid w:val="32CA1B39"/>
    <w:rsid w:val="32CA675E"/>
    <w:rsid w:val="32CD172F"/>
    <w:rsid w:val="32CD689D"/>
    <w:rsid w:val="32D65D1D"/>
    <w:rsid w:val="32DC5131"/>
    <w:rsid w:val="32DF090B"/>
    <w:rsid w:val="32E11FD3"/>
    <w:rsid w:val="32E12B57"/>
    <w:rsid w:val="32E244EC"/>
    <w:rsid w:val="32E43AE4"/>
    <w:rsid w:val="32E54A9B"/>
    <w:rsid w:val="32E57CF6"/>
    <w:rsid w:val="32E9753C"/>
    <w:rsid w:val="32EF347D"/>
    <w:rsid w:val="32F1440B"/>
    <w:rsid w:val="32F273ED"/>
    <w:rsid w:val="32F33D8A"/>
    <w:rsid w:val="32F35977"/>
    <w:rsid w:val="32F436A3"/>
    <w:rsid w:val="32F71AD7"/>
    <w:rsid w:val="32F927CF"/>
    <w:rsid w:val="32FC4B7D"/>
    <w:rsid w:val="32FF455D"/>
    <w:rsid w:val="330725E7"/>
    <w:rsid w:val="33091E8F"/>
    <w:rsid w:val="330B5906"/>
    <w:rsid w:val="330C417B"/>
    <w:rsid w:val="330C57EE"/>
    <w:rsid w:val="330E5BA2"/>
    <w:rsid w:val="33104D1B"/>
    <w:rsid w:val="3311119F"/>
    <w:rsid w:val="33120FD6"/>
    <w:rsid w:val="33164A63"/>
    <w:rsid w:val="331B364A"/>
    <w:rsid w:val="331E61AA"/>
    <w:rsid w:val="33201A19"/>
    <w:rsid w:val="33257307"/>
    <w:rsid w:val="333702E1"/>
    <w:rsid w:val="333751D5"/>
    <w:rsid w:val="333A1999"/>
    <w:rsid w:val="33403AD0"/>
    <w:rsid w:val="3341052F"/>
    <w:rsid w:val="334324D3"/>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D52E9"/>
    <w:rsid w:val="3380076E"/>
    <w:rsid w:val="33842139"/>
    <w:rsid w:val="338738B9"/>
    <w:rsid w:val="338A315D"/>
    <w:rsid w:val="339170EF"/>
    <w:rsid w:val="33967FE7"/>
    <w:rsid w:val="33975AE0"/>
    <w:rsid w:val="339A4201"/>
    <w:rsid w:val="33AA3EDC"/>
    <w:rsid w:val="33AB3F99"/>
    <w:rsid w:val="33AB741A"/>
    <w:rsid w:val="33B3256A"/>
    <w:rsid w:val="33B47514"/>
    <w:rsid w:val="33B94573"/>
    <w:rsid w:val="33BB659B"/>
    <w:rsid w:val="33BC1F56"/>
    <w:rsid w:val="33BC32D5"/>
    <w:rsid w:val="33C748AE"/>
    <w:rsid w:val="33C75909"/>
    <w:rsid w:val="33D02E46"/>
    <w:rsid w:val="33D53334"/>
    <w:rsid w:val="33DA5D7D"/>
    <w:rsid w:val="33DB47C4"/>
    <w:rsid w:val="33DE181D"/>
    <w:rsid w:val="33DF593B"/>
    <w:rsid w:val="33E261A6"/>
    <w:rsid w:val="33E64517"/>
    <w:rsid w:val="33EB5F44"/>
    <w:rsid w:val="33ED3F3D"/>
    <w:rsid w:val="33EF3DF2"/>
    <w:rsid w:val="33F7101E"/>
    <w:rsid w:val="33F76CB7"/>
    <w:rsid w:val="33F82D8B"/>
    <w:rsid w:val="33FA56BA"/>
    <w:rsid w:val="33FA572B"/>
    <w:rsid w:val="3403379A"/>
    <w:rsid w:val="34044E73"/>
    <w:rsid w:val="340A64CB"/>
    <w:rsid w:val="340D7D4E"/>
    <w:rsid w:val="340E335D"/>
    <w:rsid w:val="34100AB8"/>
    <w:rsid w:val="3411417D"/>
    <w:rsid w:val="34133997"/>
    <w:rsid w:val="341817B3"/>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755A8"/>
    <w:rsid w:val="345A0537"/>
    <w:rsid w:val="345B7068"/>
    <w:rsid w:val="345C4D68"/>
    <w:rsid w:val="345D758F"/>
    <w:rsid w:val="34644217"/>
    <w:rsid w:val="3465029D"/>
    <w:rsid w:val="346A1BB2"/>
    <w:rsid w:val="346B2DA8"/>
    <w:rsid w:val="346B666F"/>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903C4A"/>
    <w:rsid w:val="34937CA2"/>
    <w:rsid w:val="349C27BA"/>
    <w:rsid w:val="349D4C3A"/>
    <w:rsid w:val="34A139B0"/>
    <w:rsid w:val="34A14FAB"/>
    <w:rsid w:val="34A46ADA"/>
    <w:rsid w:val="34A70330"/>
    <w:rsid w:val="34A723E9"/>
    <w:rsid w:val="34A73CB6"/>
    <w:rsid w:val="34A86EFC"/>
    <w:rsid w:val="34AE13F1"/>
    <w:rsid w:val="34AF406A"/>
    <w:rsid w:val="34AF6B2B"/>
    <w:rsid w:val="34B20CB9"/>
    <w:rsid w:val="34B2523D"/>
    <w:rsid w:val="34B3631E"/>
    <w:rsid w:val="34B72433"/>
    <w:rsid w:val="34C037F6"/>
    <w:rsid w:val="34C510F1"/>
    <w:rsid w:val="34CC108F"/>
    <w:rsid w:val="34CC14A4"/>
    <w:rsid w:val="34CF701B"/>
    <w:rsid w:val="34D665DD"/>
    <w:rsid w:val="34DB4F48"/>
    <w:rsid w:val="34DC68C6"/>
    <w:rsid w:val="34E755E0"/>
    <w:rsid w:val="34E86316"/>
    <w:rsid w:val="34E95C2F"/>
    <w:rsid w:val="34EA52C6"/>
    <w:rsid w:val="34EE3576"/>
    <w:rsid w:val="34F020FF"/>
    <w:rsid w:val="34F063FE"/>
    <w:rsid w:val="34F17EC9"/>
    <w:rsid w:val="34FA344D"/>
    <w:rsid w:val="34FB1397"/>
    <w:rsid w:val="34FF7FD7"/>
    <w:rsid w:val="35005469"/>
    <w:rsid w:val="35017F79"/>
    <w:rsid w:val="35074086"/>
    <w:rsid w:val="351472C0"/>
    <w:rsid w:val="3515414F"/>
    <w:rsid w:val="35165FE5"/>
    <w:rsid w:val="35177DE8"/>
    <w:rsid w:val="351A2C72"/>
    <w:rsid w:val="351A50FA"/>
    <w:rsid w:val="351B01DF"/>
    <w:rsid w:val="351D651F"/>
    <w:rsid w:val="351F1416"/>
    <w:rsid w:val="351F7E03"/>
    <w:rsid w:val="35206711"/>
    <w:rsid w:val="35207159"/>
    <w:rsid w:val="352837C7"/>
    <w:rsid w:val="352B648D"/>
    <w:rsid w:val="352D7415"/>
    <w:rsid w:val="3531792A"/>
    <w:rsid w:val="353331B8"/>
    <w:rsid w:val="35450042"/>
    <w:rsid w:val="35451162"/>
    <w:rsid w:val="35460BDD"/>
    <w:rsid w:val="354B41DD"/>
    <w:rsid w:val="354F22C4"/>
    <w:rsid w:val="3552267E"/>
    <w:rsid w:val="355266C0"/>
    <w:rsid w:val="35526BCD"/>
    <w:rsid w:val="355271D3"/>
    <w:rsid w:val="35580193"/>
    <w:rsid w:val="355A5E02"/>
    <w:rsid w:val="3560473B"/>
    <w:rsid w:val="35645D84"/>
    <w:rsid w:val="35675BE6"/>
    <w:rsid w:val="356B1CA6"/>
    <w:rsid w:val="356E5A0B"/>
    <w:rsid w:val="356E6429"/>
    <w:rsid w:val="356E6E51"/>
    <w:rsid w:val="356F6456"/>
    <w:rsid w:val="357706DE"/>
    <w:rsid w:val="357D5219"/>
    <w:rsid w:val="357F4D08"/>
    <w:rsid w:val="35856351"/>
    <w:rsid w:val="35862921"/>
    <w:rsid w:val="358A4B5E"/>
    <w:rsid w:val="358D4F45"/>
    <w:rsid w:val="358E6E0F"/>
    <w:rsid w:val="35940857"/>
    <w:rsid w:val="35940CC1"/>
    <w:rsid w:val="35955E66"/>
    <w:rsid w:val="3595612F"/>
    <w:rsid w:val="35A444A3"/>
    <w:rsid w:val="35A9105B"/>
    <w:rsid w:val="35AE4034"/>
    <w:rsid w:val="35AF609D"/>
    <w:rsid w:val="35B2395E"/>
    <w:rsid w:val="35B500E7"/>
    <w:rsid w:val="35B77945"/>
    <w:rsid w:val="35BB6015"/>
    <w:rsid w:val="35BC68C2"/>
    <w:rsid w:val="35BF0938"/>
    <w:rsid w:val="35C07DDA"/>
    <w:rsid w:val="35C367DA"/>
    <w:rsid w:val="35C647B5"/>
    <w:rsid w:val="35C65193"/>
    <w:rsid w:val="35C95FC3"/>
    <w:rsid w:val="35CD5577"/>
    <w:rsid w:val="35CD5DFA"/>
    <w:rsid w:val="35CE53F0"/>
    <w:rsid w:val="35D035FF"/>
    <w:rsid w:val="35D210D6"/>
    <w:rsid w:val="35D3027B"/>
    <w:rsid w:val="35D41A17"/>
    <w:rsid w:val="35D738FD"/>
    <w:rsid w:val="35DC58C2"/>
    <w:rsid w:val="35E3342C"/>
    <w:rsid w:val="35E6341D"/>
    <w:rsid w:val="35E71036"/>
    <w:rsid w:val="35E73D07"/>
    <w:rsid w:val="35EE64EB"/>
    <w:rsid w:val="35F10AFB"/>
    <w:rsid w:val="35F14DB5"/>
    <w:rsid w:val="35F43DF2"/>
    <w:rsid w:val="35F500F0"/>
    <w:rsid w:val="35F60672"/>
    <w:rsid w:val="35FB4038"/>
    <w:rsid w:val="35FE5605"/>
    <w:rsid w:val="35FF189A"/>
    <w:rsid w:val="36013E8A"/>
    <w:rsid w:val="360219E2"/>
    <w:rsid w:val="36044720"/>
    <w:rsid w:val="360D6CAB"/>
    <w:rsid w:val="3614405A"/>
    <w:rsid w:val="3615173C"/>
    <w:rsid w:val="3619343A"/>
    <w:rsid w:val="36196E2D"/>
    <w:rsid w:val="361C28F1"/>
    <w:rsid w:val="361E0B30"/>
    <w:rsid w:val="361E5F79"/>
    <w:rsid w:val="361E6E47"/>
    <w:rsid w:val="36255FE7"/>
    <w:rsid w:val="362859A8"/>
    <w:rsid w:val="3629620B"/>
    <w:rsid w:val="362B046C"/>
    <w:rsid w:val="362F44EC"/>
    <w:rsid w:val="36306D85"/>
    <w:rsid w:val="36380784"/>
    <w:rsid w:val="363A6D22"/>
    <w:rsid w:val="363B18FB"/>
    <w:rsid w:val="363E4E6E"/>
    <w:rsid w:val="36466CFB"/>
    <w:rsid w:val="364A0B1E"/>
    <w:rsid w:val="364A318D"/>
    <w:rsid w:val="36553902"/>
    <w:rsid w:val="365C692E"/>
    <w:rsid w:val="365E5AB3"/>
    <w:rsid w:val="36600E05"/>
    <w:rsid w:val="36611D5C"/>
    <w:rsid w:val="3664672E"/>
    <w:rsid w:val="36684B85"/>
    <w:rsid w:val="36694323"/>
    <w:rsid w:val="36715F81"/>
    <w:rsid w:val="3672153F"/>
    <w:rsid w:val="3672290B"/>
    <w:rsid w:val="36781C35"/>
    <w:rsid w:val="367870D6"/>
    <w:rsid w:val="367A12DB"/>
    <w:rsid w:val="367A3D17"/>
    <w:rsid w:val="367B2FE9"/>
    <w:rsid w:val="3683277D"/>
    <w:rsid w:val="36871919"/>
    <w:rsid w:val="368D0336"/>
    <w:rsid w:val="368D31BA"/>
    <w:rsid w:val="369C313F"/>
    <w:rsid w:val="369E16D7"/>
    <w:rsid w:val="36A84891"/>
    <w:rsid w:val="36AA3FA9"/>
    <w:rsid w:val="36AD4152"/>
    <w:rsid w:val="36B15850"/>
    <w:rsid w:val="36B46738"/>
    <w:rsid w:val="36B969ED"/>
    <w:rsid w:val="36BE11DF"/>
    <w:rsid w:val="36BF09FB"/>
    <w:rsid w:val="36C276D2"/>
    <w:rsid w:val="36C35683"/>
    <w:rsid w:val="36CF43C3"/>
    <w:rsid w:val="36D0148B"/>
    <w:rsid w:val="36D105F0"/>
    <w:rsid w:val="36D12A0A"/>
    <w:rsid w:val="36D53B5B"/>
    <w:rsid w:val="36D54D95"/>
    <w:rsid w:val="36DB016A"/>
    <w:rsid w:val="36DD3272"/>
    <w:rsid w:val="36E338B6"/>
    <w:rsid w:val="36E5713F"/>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264A9"/>
    <w:rsid w:val="37144AD8"/>
    <w:rsid w:val="371A75A5"/>
    <w:rsid w:val="371B2D39"/>
    <w:rsid w:val="37287D74"/>
    <w:rsid w:val="372B3971"/>
    <w:rsid w:val="372F0142"/>
    <w:rsid w:val="37331E41"/>
    <w:rsid w:val="373329D5"/>
    <w:rsid w:val="373736BA"/>
    <w:rsid w:val="373A5B89"/>
    <w:rsid w:val="373B5931"/>
    <w:rsid w:val="373C0861"/>
    <w:rsid w:val="373C0D3C"/>
    <w:rsid w:val="3740200E"/>
    <w:rsid w:val="37410937"/>
    <w:rsid w:val="37420D4B"/>
    <w:rsid w:val="37461BF8"/>
    <w:rsid w:val="37470DDB"/>
    <w:rsid w:val="37481C49"/>
    <w:rsid w:val="374D494F"/>
    <w:rsid w:val="375174F1"/>
    <w:rsid w:val="3757191C"/>
    <w:rsid w:val="375C6CAA"/>
    <w:rsid w:val="37625199"/>
    <w:rsid w:val="37673380"/>
    <w:rsid w:val="37692AA2"/>
    <w:rsid w:val="376936A3"/>
    <w:rsid w:val="376B0BB2"/>
    <w:rsid w:val="376B5BE2"/>
    <w:rsid w:val="377468B5"/>
    <w:rsid w:val="37761760"/>
    <w:rsid w:val="37792D4C"/>
    <w:rsid w:val="377C1A12"/>
    <w:rsid w:val="377F29FA"/>
    <w:rsid w:val="378A2E48"/>
    <w:rsid w:val="378B14DA"/>
    <w:rsid w:val="378D4721"/>
    <w:rsid w:val="3793144B"/>
    <w:rsid w:val="379811AE"/>
    <w:rsid w:val="379A790F"/>
    <w:rsid w:val="37A24258"/>
    <w:rsid w:val="37A813B0"/>
    <w:rsid w:val="37A867E7"/>
    <w:rsid w:val="37AB5815"/>
    <w:rsid w:val="37AE3B96"/>
    <w:rsid w:val="37AE3FC6"/>
    <w:rsid w:val="37AE5261"/>
    <w:rsid w:val="37B22D58"/>
    <w:rsid w:val="37B3204B"/>
    <w:rsid w:val="37B532ED"/>
    <w:rsid w:val="37B573A1"/>
    <w:rsid w:val="37B852BB"/>
    <w:rsid w:val="37BC1250"/>
    <w:rsid w:val="37BC6B83"/>
    <w:rsid w:val="37BE52D4"/>
    <w:rsid w:val="37C04CE8"/>
    <w:rsid w:val="37C10E58"/>
    <w:rsid w:val="37C135D8"/>
    <w:rsid w:val="37C13ADD"/>
    <w:rsid w:val="37C615E0"/>
    <w:rsid w:val="37C62CBD"/>
    <w:rsid w:val="37C64504"/>
    <w:rsid w:val="37C760B1"/>
    <w:rsid w:val="37C83751"/>
    <w:rsid w:val="37CA282F"/>
    <w:rsid w:val="37CB1389"/>
    <w:rsid w:val="37CB3A4F"/>
    <w:rsid w:val="37CD003C"/>
    <w:rsid w:val="37D435D8"/>
    <w:rsid w:val="37D87D8B"/>
    <w:rsid w:val="37DB6C63"/>
    <w:rsid w:val="37DC1D8E"/>
    <w:rsid w:val="37DD41C6"/>
    <w:rsid w:val="37DE1511"/>
    <w:rsid w:val="37E57198"/>
    <w:rsid w:val="37E71A38"/>
    <w:rsid w:val="37E8544A"/>
    <w:rsid w:val="37EB49EA"/>
    <w:rsid w:val="37EC0B89"/>
    <w:rsid w:val="37EC661D"/>
    <w:rsid w:val="37F050D5"/>
    <w:rsid w:val="37F1732C"/>
    <w:rsid w:val="37F41004"/>
    <w:rsid w:val="37F53C31"/>
    <w:rsid w:val="37FE386C"/>
    <w:rsid w:val="380060EB"/>
    <w:rsid w:val="380546E0"/>
    <w:rsid w:val="38085331"/>
    <w:rsid w:val="381007FB"/>
    <w:rsid w:val="38114349"/>
    <w:rsid w:val="38117674"/>
    <w:rsid w:val="3812501F"/>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D127B"/>
    <w:rsid w:val="383F51EF"/>
    <w:rsid w:val="38436EDB"/>
    <w:rsid w:val="3845421C"/>
    <w:rsid w:val="38473CF3"/>
    <w:rsid w:val="3847468B"/>
    <w:rsid w:val="38484C8B"/>
    <w:rsid w:val="384B25B4"/>
    <w:rsid w:val="384B4305"/>
    <w:rsid w:val="384B7B42"/>
    <w:rsid w:val="38520289"/>
    <w:rsid w:val="38525B63"/>
    <w:rsid w:val="385A415B"/>
    <w:rsid w:val="385A4F69"/>
    <w:rsid w:val="385E53C0"/>
    <w:rsid w:val="386322B4"/>
    <w:rsid w:val="386A6F31"/>
    <w:rsid w:val="387265C4"/>
    <w:rsid w:val="387552D4"/>
    <w:rsid w:val="387811A2"/>
    <w:rsid w:val="38803E9A"/>
    <w:rsid w:val="38833659"/>
    <w:rsid w:val="38866914"/>
    <w:rsid w:val="388827A3"/>
    <w:rsid w:val="388B58E3"/>
    <w:rsid w:val="388D4B1A"/>
    <w:rsid w:val="389169F6"/>
    <w:rsid w:val="38934508"/>
    <w:rsid w:val="38951ABA"/>
    <w:rsid w:val="389A6219"/>
    <w:rsid w:val="389A7DF3"/>
    <w:rsid w:val="389C197D"/>
    <w:rsid w:val="389C6FFC"/>
    <w:rsid w:val="389E103B"/>
    <w:rsid w:val="38A066E6"/>
    <w:rsid w:val="38A25437"/>
    <w:rsid w:val="38A53C7F"/>
    <w:rsid w:val="38A53CD2"/>
    <w:rsid w:val="38A66351"/>
    <w:rsid w:val="38A92D72"/>
    <w:rsid w:val="38AD0FB8"/>
    <w:rsid w:val="38AD4C0A"/>
    <w:rsid w:val="38B044CA"/>
    <w:rsid w:val="38B04511"/>
    <w:rsid w:val="38B34C4D"/>
    <w:rsid w:val="38B46374"/>
    <w:rsid w:val="38BA5014"/>
    <w:rsid w:val="38BA672D"/>
    <w:rsid w:val="38C05CF9"/>
    <w:rsid w:val="38C22308"/>
    <w:rsid w:val="38C31B7A"/>
    <w:rsid w:val="38C449E2"/>
    <w:rsid w:val="38C517E5"/>
    <w:rsid w:val="38CD3B78"/>
    <w:rsid w:val="38D2274D"/>
    <w:rsid w:val="38D32B2F"/>
    <w:rsid w:val="38D71A00"/>
    <w:rsid w:val="38D83DA4"/>
    <w:rsid w:val="38DC3BA4"/>
    <w:rsid w:val="38DC7A1B"/>
    <w:rsid w:val="38DD06D2"/>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429EC"/>
    <w:rsid w:val="39042F1F"/>
    <w:rsid w:val="390E78D6"/>
    <w:rsid w:val="390F3D44"/>
    <w:rsid w:val="391106DB"/>
    <w:rsid w:val="39126A08"/>
    <w:rsid w:val="391D0F96"/>
    <w:rsid w:val="391E360F"/>
    <w:rsid w:val="391F1FF5"/>
    <w:rsid w:val="392052BB"/>
    <w:rsid w:val="39213274"/>
    <w:rsid w:val="39231158"/>
    <w:rsid w:val="392B6C66"/>
    <w:rsid w:val="39350941"/>
    <w:rsid w:val="39364486"/>
    <w:rsid w:val="39366BBB"/>
    <w:rsid w:val="39395F82"/>
    <w:rsid w:val="393E07AB"/>
    <w:rsid w:val="393E293F"/>
    <w:rsid w:val="393E3809"/>
    <w:rsid w:val="39436439"/>
    <w:rsid w:val="394A676A"/>
    <w:rsid w:val="39506734"/>
    <w:rsid w:val="395A6D19"/>
    <w:rsid w:val="395D0192"/>
    <w:rsid w:val="395D0E21"/>
    <w:rsid w:val="396073B4"/>
    <w:rsid w:val="3961140C"/>
    <w:rsid w:val="39623B52"/>
    <w:rsid w:val="39661E49"/>
    <w:rsid w:val="39727F06"/>
    <w:rsid w:val="39765E70"/>
    <w:rsid w:val="39771A07"/>
    <w:rsid w:val="39774BBD"/>
    <w:rsid w:val="397E51D4"/>
    <w:rsid w:val="39832372"/>
    <w:rsid w:val="3984789F"/>
    <w:rsid w:val="39847EB1"/>
    <w:rsid w:val="398704BB"/>
    <w:rsid w:val="39882427"/>
    <w:rsid w:val="398B605E"/>
    <w:rsid w:val="39916F0D"/>
    <w:rsid w:val="39926717"/>
    <w:rsid w:val="399812C8"/>
    <w:rsid w:val="399A4AA2"/>
    <w:rsid w:val="399E1C0B"/>
    <w:rsid w:val="399E7C1A"/>
    <w:rsid w:val="39A21811"/>
    <w:rsid w:val="39A563F3"/>
    <w:rsid w:val="39AE6303"/>
    <w:rsid w:val="39B261DB"/>
    <w:rsid w:val="39B838DE"/>
    <w:rsid w:val="39B857F7"/>
    <w:rsid w:val="39B90E5E"/>
    <w:rsid w:val="39BB3A94"/>
    <w:rsid w:val="39BF4E6C"/>
    <w:rsid w:val="39C1671E"/>
    <w:rsid w:val="39CB526D"/>
    <w:rsid w:val="39CD52D5"/>
    <w:rsid w:val="39CF1214"/>
    <w:rsid w:val="39D14246"/>
    <w:rsid w:val="39D546A7"/>
    <w:rsid w:val="39DA79CB"/>
    <w:rsid w:val="39E04358"/>
    <w:rsid w:val="39E069D4"/>
    <w:rsid w:val="39E303A6"/>
    <w:rsid w:val="39E30B96"/>
    <w:rsid w:val="39F070CC"/>
    <w:rsid w:val="39F1141A"/>
    <w:rsid w:val="39F12591"/>
    <w:rsid w:val="39F83248"/>
    <w:rsid w:val="39FA1CF1"/>
    <w:rsid w:val="3A001D3B"/>
    <w:rsid w:val="3A005972"/>
    <w:rsid w:val="3A016BF0"/>
    <w:rsid w:val="3A057500"/>
    <w:rsid w:val="3A09602E"/>
    <w:rsid w:val="3A0C0131"/>
    <w:rsid w:val="3A0C1916"/>
    <w:rsid w:val="3A11406B"/>
    <w:rsid w:val="3A14776F"/>
    <w:rsid w:val="3A1C71BF"/>
    <w:rsid w:val="3A216AA7"/>
    <w:rsid w:val="3A2B63E8"/>
    <w:rsid w:val="3A2C09D8"/>
    <w:rsid w:val="3A2C3BA6"/>
    <w:rsid w:val="3A3539DC"/>
    <w:rsid w:val="3A382394"/>
    <w:rsid w:val="3A39457D"/>
    <w:rsid w:val="3A3D4D53"/>
    <w:rsid w:val="3A3F55B2"/>
    <w:rsid w:val="3A474BBB"/>
    <w:rsid w:val="3A4A27B4"/>
    <w:rsid w:val="3A4B1958"/>
    <w:rsid w:val="3A4C45A1"/>
    <w:rsid w:val="3A4D1649"/>
    <w:rsid w:val="3A55152B"/>
    <w:rsid w:val="3A565C7C"/>
    <w:rsid w:val="3A577ADC"/>
    <w:rsid w:val="3A5A7155"/>
    <w:rsid w:val="3A5F3F5A"/>
    <w:rsid w:val="3A5F73B0"/>
    <w:rsid w:val="3A617926"/>
    <w:rsid w:val="3A622364"/>
    <w:rsid w:val="3A635A44"/>
    <w:rsid w:val="3A66159D"/>
    <w:rsid w:val="3A6D66ED"/>
    <w:rsid w:val="3A6E306F"/>
    <w:rsid w:val="3A7008C3"/>
    <w:rsid w:val="3A7116FC"/>
    <w:rsid w:val="3A76541F"/>
    <w:rsid w:val="3A7A14EA"/>
    <w:rsid w:val="3A7C0D8E"/>
    <w:rsid w:val="3A7D75EF"/>
    <w:rsid w:val="3A7F4366"/>
    <w:rsid w:val="3A8700BD"/>
    <w:rsid w:val="3A881F93"/>
    <w:rsid w:val="3A8A04D5"/>
    <w:rsid w:val="3A8D11CC"/>
    <w:rsid w:val="3A953F33"/>
    <w:rsid w:val="3A9A07D3"/>
    <w:rsid w:val="3A9C50AA"/>
    <w:rsid w:val="3A9F3B3D"/>
    <w:rsid w:val="3AA312D0"/>
    <w:rsid w:val="3AA802AC"/>
    <w:rsid w:val="3AAD2322"/>
    <w:rsid w:val="3AB06715"/>
    <w:rsid w:val="3AB65298"/>
    <w:rsid w:val="3ABA5D96"/>
    <w:rsid w:val="3ABE2596"/>
    <w:rsid w:val="3AC351F1"/>
    <w:rsid w:val="3AC7290F"/>
    <w:rsid w:val="3ACB36E9"/>
    <w:rsid w:val="3ACB7871"/>
    <w:rsid w:val="3ACE3EA3"/>
    <w:rsid w:val="3AD34546"/>
    <w:rsid w:val="3AD44DD0"/>
    <w:rsid w:val="3AD70173"/>
    <w:rsid w:val="3AD82831"/>
    <w:rsid w:val="3AD847A7"/>
    <w:rsid w:val="3ADA43E7"/>
    <w:rsid w:val="3ADE0205"/>
    <w:rsid w:val="3AE15E3F"/>
    <w:rsid w:val="3AE612EC"/>
    <w:rsid w:val="3AE839C5"/>
    <w:rsid w:val="3AEE3DC3"/>
    <w:rsid w:val="3AEF76B1"/>
    <w:rsid w:val="3AF231A2"/>
    <w:rsid w:val="3AF27012"/>
    <w:rsid w:val="3AF808B9"/>
    <w:rsid w:val="3AF843C5"/>
    <w:rsid w:val="3AFD4790"/>
    <w:rsid w:val="3AFD7538"/>
    <w:rsid w:val="3AFE14D3"/>
    <w:rsid w:val="3B0114CC"/>
    <w:rsid w:val="3B050C15"/>
    <w:rsid w:val="3B0B05A6"/>
    <w:rsid w:val="3B0E7798"/>
    <w:rsid w:val="3B0F7C4F"/>
    <w:rsid w:val="3B112207"/>
    <w:rsid w:val="3B112F57"/>
    <w:rsid w:val="3B163CE0"/>
    <w:rsid w:val="3B1B5ED1"/>
    <w:rsid w:val="3B1C6939"/>
    <w:rsid w:val="3B1E3124"/>
    <w:rsid w:val="3B2062B3"/>
    <w:rsid w:val="3B216CAC"/>
    <w:rsid w:val="3B237FE2"/>
    <w:rsid w:val="3B2528D7"/>
    <w:rsid w:val="3B253206"/>
    <w:rsid w:val="3B257B7C"/>
    <w:rsid w:val="3B2E4EF4"/>
    <w:rsid w:val="3B3B3C1D"/>
    <w:rsid w:val="3B3C2E22"/>
    <w:rsid w:val="3B3E4955"/>
    <w:rsid w:val="3B415600"/>
    <w:rsid w:val="3B452280"/>
    <w:rsid w:val="3B4903BB"/>
    <w:rsid w:val="3B491398"/>
    <w:rsid w:val="3B4B4611"/>
    <w:rsid w:val="3B4F5C3D"/>
    <w:rsid w:val="3B555758"/>
    <w:rsid w:val="3B556447"/>
    <w:rsid w:val="3B59157A"/>
    <w:rsid w:val="3B5A461E"/>
    <w:rsid w:val="3B655303"/>
    <w:rsid w:val="3B6861CF"/>
    <w:rsid w:val="3B694363"/>
    <w:rsid w:val="3B6A6F30"/>
    <w:rsid w:val="3B6B3E1B"/>
    <w:rsid w:val="3B7108E4"/>
    <w:rsid w:val="3B7175ED"/>
    <w:rsid w:val="3B7445CF"/>
    <w:rsid w:val="3B7923BD"/>
    <w:rsid w:val="3B7948A0"/>
    <w:rsid w:val="3B7A0E16"/>
    <w:rsid w:val="3B7A5CB5"/>
    <w:rsid w:val="3B7B36A3"/>
    <w:rsid w:val="3B81256C"/>
    <w:rsid w:val="3B8535DD"/>
    <w:rsid w:val="3B865EFD"/>
    <w:rsid w:val="3B8A0FE3"/>
    <w:rsid w:val="3B8A6D07"/>
    <w:rsid w:val="3B8B274A"/>
    <w:rsid w:val="3B8D0B94"/>
    <w:rsid w:val="3B90223A"/>
    <w:rsid w:val="3B9A055F"/>
    <w:rsid w:val="3B9C0A2C"/>
    <w:rsid w:val="3BA23EEE"/>
    <w:rsid w:val="3BA50C0C"/>
    <w:rsid w:val="3BA71D5D"/>
    <w:rsid w:val="3BA773DF"/>
    <w:rsid w:val="3BA866BF"/>
    <w:rsid w:val="3BAD14AF"/>
    <w:rsid w:val="3BB438AE"/>
    <w:rsid w:val="3BB503E2"/>
    <w:rsid w:val="3BB67C98"/>
    <w:rsid w:val="3BB810DD"/>
    <w:rsid w:val="3BBC728B"/>
    <w:rsid w:val="3BBD3102"/>
    <w:rsid w:val="3BBD73CF"/>
    <w:rsid w:val="3BBF193B"/>
    <w:rsid w:val="3BBF388D"/>
    <w:rsid w:val="3BC16595"/>
    <w:rsid w:val="3BC21EE9"/>
    <w:rsid w:val="3BC24A45"/>
    <w:rsid w:val="3BC24F82"/>
    <w:rsid w:val="3BCA4456"/>
    <w:rsid w:val="3BCC5A8F"/>
    <w:rsid w:val="3BD33379"/>
    <w:rsid w:val="3BD60116"/>
    <w:rsid w:val="3BD82617"/>
    <w:rsid w:val="3BDB327D"/>
    <w:rsid w:val="3BDB4383"/>
    <w:rsid w:val="3BDC50D4"/>
    <w:rsid w:val="3BDF4771"/>
    <w:rsid w:val="3BEA1F05"/>
    <w:rsid w:val="3BEF7A3A"/>
    <w:rsid w:val="3BF23DEC"/>
    <w:rsid w:val="3BF30D1B"/>
    <w:rsid w:val="3BFA2827"/>
    <w:rsid w:val="3BFA7D60"/>
    <w:rsid w:val="3BFE738F"/>
    <w:rsid w:val="3C0259F2"/>
    <w:rsid w:val="3C043623"/>
    <w:rsid w:val="3C0509B4"/>
    <w:rsid w:val="3C084B4A"/>
    <w:rsid w:val="3C0A0305"/>
    <w:rsid w:val="3C0B742B"/>
    <w:rsid w:val="3C0C3AD9"/>
    <w:rsid w:val="3C0F040C"/>
    <w:rsid w:val="3C0F6775"/>
    <w:rsid w:val="3C111253"/>
    <w:rsid w:val="3C1200E5"/>
    <w:rsid w:val="3C120A10"/>
    <w:rsid w:val="3C120B33"/>
    <w:rsid w:val="3C154938"/>
    <w:rsid w:val="3C186DEF"/>
    <w:rsid w:val="3C1A43F3"/>
    <w:rsid w:val="3C1C40A3"/>
    <w:rsid w:val="3C2060E6"/>
    <w:rsid w:val="3C26110F"/>
    <w:rsid w:val="3C280011"/>
    <w:rsid w:val="3C292BB8"/>
    <w:rsid w:val="3C2B69B2"/>
    <w:rsid w:val="3C2F312C"/>
    <w:rsid w:val="3C322615"/>
    <w:rsid w:val="3C341596"/>
    <w:rsid w:val="3C372B04"/>
    <w:rsid w:val="3C38207F"/>
    <w:rsid w:val="3C38564A"/>
    <w:rsid w:val="3C411534"/>
    <w:rsid w:val="3C4A36CF"/>
    <w:rsid w:val="3C4D7FC6"/>
    <w:rsid w:val="3C57055B"/>
    <w:rsid w:val="3C584143"/>
    <w:rsid w:val="3C5A0649"/>
    <w:rsid w:val="3C5D5511"/>
    <w:rsid w:val="3C5D5718"/>
    <w:rsid w:val="3C6053AA"/>
    <w:rsid w:val="3C663472"/>
    <w:rsid w:val="3C6A1A47"/>
    <w:rsid w:val="3C6A6E3E"/>
    <w:rsid w:val="3C6B4CE4"/>
    <w:rsid w:val="3C6C1257"/>
    <w:rsid w:val="3C6D22A9"/>
    <w:rsid w:val="3C6D26E6"/>
    <w:rsid w:val="3C6D4F86"/>
    <w:rsid w:val="3C6E4611"/>
    <w:rsid w:val="3C6F39FB"/>
    <w:rsid w:val="3C6F5C49"/>
    <w:rsid w:val="3C70025C"/>
    <w:rsid w:val="3C734003"/>
    <w:rsid w:val="3C735075"/>
    <w:rsid w:val="3C762034"/>
    <w:rsid w:val="3C77244A"/>
    <w:rsid w:val="3C783F6C"/>
    <w:rsid w:val="3C7A543E"/>
    <w:rsid w:val="3C7C68CA"/>
    <w:rsid w:val="3C805AEB"/>
    <w:rsid w:val="3C81013A"/>
    <w:rsid w:val="3C820803"/>
    <w:rsid w:val="3C8638D5"/>
    <w:rsid w:val="3C88070C"/>
    <w:rsid w:val="3C893553"/>
    <w:rsid w:val="3C8C02E7"/>
    <w:rsid w:val="3C8D4D4D"/>
    <w:rsid w:val="3C8E1340"/>
    <w:rsid w:val="3C916D91"/>
    <w:rsid w:val="3C986303"/>
    <w:rsid w:val="3C990100"/>
    <w:rsid w:val="3C9B4C33"/>
    <w:rsid w:val="3C9C1B00"/>
    <w:rsid w:val="3C9C3774"/>
    <w:rsid w:val="3C9D6BB1"/>
    <w:rsid w:val="3C9E7095"/>
    <w:rsid w:val="3CA17A3D"/>
    <w:rsid w:val="3CA475A5"/>
    <w:rsid w:val="3CA54122"/>
    <w:rsid w:val="3CA85166"/>
    <w:rsid w:val="3CAE0373"/>
    <w:rsid w:val="3CAE3726"/>
    <w:rsid w:val="3CAF7635"/>
    <w:rsid w:val="3CB46CA8"/>
    <w:rsid w:val="3CB576A3"/>
    <w:rsid w:val="3CB756A4"/>
    <w:rsid w:val="3CBB4FA9"/>
    <w:rsid w:val="3CBC71F7"/>
    <w:rsid w:val="3CBE3F34"/>
    <w:rsid w:val="3CBF03CD"/>
    <w:rsid w:val="3CC06070"/>
    <w:rsid w:val="3CC069F2"/>
    <w:rsid w:val="3CC433D7"/>
    <w:rsid w:val="3CC9197E"/>
    <w:rsid w:val="3CC94A12"/>
    <w:rsid w:val="3CCB1797"/>
    <w:rsid w:val="3CD81277"/>
    <w:rsid w:val="3CD927D3"/>
    <w:rsid w:val="3CDB2418"/>
    <w:rsid w:val="3CDD45F6"/>
    <w:rsid w:val="3CDD641E"/>
    <w:rsid w:val="3CDD6F13"/>
    <w:rsid w:val="3CE03540"/>
    <w:rsid w:val="3CEB0CD8"/>
    <w:rsid w:val="3CF012B5"/>
    <w:rsid w:val="3CF10224"/>
    <w:rsid w:val="3CF10A63"/>
    <w:rsid w:val="3CF55937"/>
    <w:rsid w:val="3CFB03F3"/>
    <w:rsid w:val="3D05649D"/>
    <w:rsid w:val="3D0918B6"/>
    <w:rsid w:val="3D0D0F5F"/>
    <w:rsid w:val="3D0E2650"/>
    <w:rsid w:val="3D0E7B96"/>
    <w:rsid w:val="3D13316C"/>
    <w:rsid w:val="3D1C3A7C"/>
    <w:rsid w:val="3D24596E"/>
    <w:rsid w:val="3D2558DA"/>
    <w:rsid w:val="3D283331"/>
    <w:rsid w:val="3D2D5705"/>
    <w:rsid w:val="3D2E57FB"/>
    <w:rsid w:val="3D310462"/>
    <w:rsid w:val="3D3256F4"/>
    <w:rsid w:val="3D344D4E"/>
    <w:rsid w:val="3D362CDD"/>
    <w:rsid w:val="3D3A74A4"/>
    <w:rsid w:val="3D4206BE"/>
    <w:rsid w:val="3D433BE3"/>
    <w:rsid w:val="3D4410E3"/>
    <w:rsid w:val="3D4F1820"/>
    <w:rsid w:val="3D505E2B"/>
    <w:rsid w:val="3D54620E"/>
    <w:rsid w:val="3D5D13B1"/>
    <w:rsid w:val="3D5D7EC0"/>
    <w:rsid w:val="3D6C2810"/>
    <w:rsid w:val="3D6C7D6A"/>
    <w:rsid w:val="3D731831"/>
    <w:rsid w:val="3D7545C9"/>
    <w:rsid w:val="3D754970"/>
    <w:rsid w:val="3D757B20"/>
    <w:rsid w:val="3D761B1D"/>
    <w:rsid w:val="3D7845E4"/>
    <w:rsid w:val="3D78514D"/>
    <w:rsid w:val="3D7877C7"/>
    <w:rsid w:val="3D7E0416"/>
    <w:rsid w:val="3D806AC3"/>
    <w:rsid w:val="3D837D75"/>
    <w:rsid w:val="3D8438BD"/>
    <w:rsid w:val="3D8517F9"/>
    <w:rsid w:val="3D8B02DF"/>
    <w:rsid w:val="3D965F28"/>
    <w:rsid w:val="3D9A5C4B"/>
    <w:rsid w:val="3D9E5E72"/>
    <w:rsid w:val="3DA009B3"/>
    <w:rsid w:val="3DA009CC"/>
    <w:rsid w:val="3DA46F15"/>
    <w:rsid w:val="3DA54FB2"/>
    <w:rsid w:val="3DA5644E"/>
    <w:rsid w:val="3DAB1915"/>
    <w:rsid w:val="3DAC0D28"/>
    <w:rsid w:val="3DB0613C"/>
    <w:rsid w:val="3DB41201"/>
    <w:rsid w:val="3DB65014"/>
    <w:rsid w:val="3DB728EA"/>
    <w:rsid w:val="3DB9219D"/>
    <w:rsid w:val="3DB9249A"/>
    <w:rsid w:val="3DBB5475"/>
    <w:rsid w:val="3DBC3CE2"/>
    <w:rsid w:val="3DBF4FE8"/>
    <w:rsid w:val="3DC118EF"/>
    <w:rsid w:val="3DC23F08"/>
    <w:rsid w:val="3DC33340"/>
    <w:rsid w:val="3DCA7A31"/>
    <w:rsid w:val="3DCB0D5F"/>
    <w:rsid w:val="3DCE0A89"/>
    <w:rsid w:val="3DCE671C"/>
    <w:rsid w:val="3DCF1960"/>
    <w:rsid w:val="3DD02B71"/>
    <w:rsid w:val="3DD10E6B"/>
    <w:rsid w:val="3DD36973"/>
    <w:rsid w:val="3DD841B7"/>
    <w:rsid w:val="3DDA347F"/>
    <w:rsid w:val="3DDB2B21"/>
    <w:rsid w:val="3DDC6D31"/>
    <w:rsid w:val="3DE0651C"/>
    <w:rsid w:val="3DE107A0"/>
    <w:rsid w:val="3DE121B4"/>
    <w:rsid w:val="3DE21CE1"/>
    <w:rsid w:val="3DE413BA"/>
    <w:rsid w:val="3DE51DA2"/>
    <w:rsid w:val="3DE637C5"/>
    <w:rsid w:val="3DE64097"/>
    <w:rsid w:val="3DE67BD3"/>
    <w:rsid w:val="3DE67F19"/>
    <w:rsid w:val="3DF145BF"/>
    <w:rsid w:val="3DF35996"/>
    <w:rsid w:val="3DF478B5"/>
    <w:rsid w:val="3DF6113A"/>
    <w:rsid w:val="3DF70567"/>
    <w:rsid w:val="3DF910E4"/>
    <w:rsid w:val="3DF94BFE"/>
    <w:rsid w:val="3DFF73BD"/>
    <w:rsid w:val="3E016B6E"/>
    <w:rsid w:val="3E0328BF"/>
    <w:rsid w:val="3E0441D4"/>
    <w:rsid w:val="3E0609B6"/>
    <w:rsid w:val="3E0C66FB"/>
    <w:rsid w:val="3E0F1CFB"/>
    <w:rsid w:val="3E111D45"/>
    <w:rsid w:val="3E1565B5"/>
    <w:rsid w:val="3E162F5B"/>
    <w:rsid w:val="3E1B0CF6"/>
    <w:rsid w:val="3E1B763A"/>
    <w:rsid w:val="3E1D490C"/>
    <w:rsid w:val="3E1F67AC"/>
    <w:rsid w:val="3E21192C"/>
    <w:rsid w:val="3E274220"/>
    <w:rsid w:val="3E277D4A"/>
    <w:rsid w:val="3E296382"/>
    <w:rsid w:val="3E302D9C"/>
    <w:rsid w:val="3E304585"/>
    <w:rsid w:val="3E343E9B"/>
    <w:rsid w:val="3E356221"/>
    <w:rsid w:val="3E374163"/>
    <w:rsid w:val="3E3A70CB"/>
    <w:rsid w:val="3E3D4614"/>
    <w:rsid w:val="3E3F5512"/>
    <w:rsid w:val="3E403804"/>
    <w:rsid w:val="3E431E7B"/>
    <w:rsid w:val="3E451A9D"/>
    <w:rsid w:val="3E4E6604"/>
    <w:rsid w:val="3E4E6CDE"/>
    <w:rsid w:val="3E4F6FC8"/>
    <w:rsid w:val="3E513A70"/>
    <w:rsid w:val="3E530307"/>
    <w:rsid w:val="3E535F39"/>
    <w:rsid w:val="3E56265A"/>
    <w:rsid w:val="3E5E230C"/>
    <w:rsid w:val="3E5F25B3"/>
    <w:rsid w:val="3E5F6DF9"/>
    <w:rsid w:val="3E633790"/>
    <w:rsid w:val="3E6719E7"/>
    <w:rsid w:val="3E74301D"/>
    <w:rsid w:val="3E74610F"/>
    <w:rsid w:val="3E79217F"/>
    <w:rsid w:val="3E7D2494"/>
    <w:rsid w:val="3E7D7398"/>
    <w:rsid w:val="3E850395"/>
    <w:rsid w:val="3E852C85"/>
    <w:rsid w:val="3E8F5775"/>
    <w:rsid w:val="3E9100F5"/>
    <w:rsid w:val="3E921F0F"/>
    <w:rsid w:val="3E951121"/>
    <w:rsid w:val="3EA32A03"/>
    <w:rsid w:val="3EA35B18"/>
    <w:rsid w:val="3EA916AB"/>
    <w:rsid w:val="3EAC2DE3"/>
    <w:rsid w:val="3EB80F93"/>
    <w:rsid w:val="3EBC260C"/>
    <w:rsid w:val="3EBE190B"/>
    <w:rsid w:val="3EBE4AA1"/>
    <w:rsid w:val="3EC25F89"/>
    <w:rsid w:val="3EC63301"/>
    <w:rsid w:val="3ECA003B"/>
    <w:rsid w:val="3ECD13E3"/>
    <w:rsid w:val="3ED06C6B"/>
    <w:rsid w:val="3ED3410B"/>
    <w:rsid w:val="3ED641B3"/>
    <w:rsid w:val="3ED8339A"/>
    <w:rsid w:val="3EDB4B27"/>
    <w:rsid w:val="3EE458A4"/>
    <w:rsid w:val="3EF076C8"/>
    <w:rsid w:val="3EF42362"/>
    <w:rsid w:val="3EF55FBB"/>
    <w:rsid w:val="3EF66E9E"/>
    <w:rsid w:val="3EF9253B"/>
    <w:rsid w:val="3EFD78BA"/>
    <w:rsid w:val="3F003B68"/>
    <w:rsid w:val="3F0815F1"/>
    <w:rsid w:val="3F0B388C"/>
    <w:rsid w:val="3F0C0BE0"/>
    <w:rsid w:val="3F0D0365"/>
    <w:rsid w:val="3F0E18F3"/>
    <w:rsid w:val="3F117991"/>
    <w:rsid w:val="3F17316C"/>
    <w:rsid w:val="3F1B0C01"/>
    <w:rsid w:val="3F210B8F"/>
    <w:rsid w:val="3F21797C"/>
    <w:rsid w:val="3F2228BB"/>
    <w:rsid w:val="3F262C3C"/>
    <w:rsid w:val="3F2B11BF"/>
    <w:rsid w:val="3F2C464B"/>
    <w:rsid w:val="3F2C65EA"/>
    <w:rsid w:val="3F3301BA"/>
    <w:rsid w:val="3F3375E9"/>
    <w:rsid w:val="3F345AC1"/>
    <w:rsid w:val="3F3B6E0A"/>
    <w:rsid w:val="3F3C6BA0"/>
    <w:rsid w:val="3F3F1578"/>
    <w:rsid w:val="3F413714"/>
    <w:rsid w:val="3F484DDE"/>
    <w:rsid w:val="3F4919B8"/>
    <w:rsid w:val="3F5323A7"/>
    <w:rsid w:val="3F575CF6"/>
    <w:rsid w:val="3F5954A7"/>
    <w:rsid w:val="3F595A74"/>
    <w:rsid w:val="3F6249EF"/>
    <w:rsid w:val="3F6A75F8"/>
    <w:rsid w:val="3F6D7287"/>
    <w:rsid w:val="3F6E46A4"/>
    <w:rsid w:val="3F70733E"/>
    <w:rsid w:val="3F72473B"/>
    <w:rsid w:val="3F744FC7"/>
    <w:rsid w:val="3F795109"/>
    <w:rsid w:val="3F7E608C"/>
    <w:rsid w:val="3F853893"/>
    <w:rsid w:val="3F854DE0"/>
    <w:rsid w:val="3F863A07"/>
    <w:rsid w:val="3F88589C"/>
    <w:rsid w:val="3F8A683D"/>
    <w:rsid w:val="3F8B0FF0"/>
    <w:rsid w:val="3F8C132E"/>
    <w:rsid w:val="3F8F06C2"/>
    <w:rsid w:val="3F9362BF"/>
    <w:rsid w:val="3F937D3F"/>
    <w:rsid w:val="3F9503C3"/>
    <w:rsid w:val="3F952B01"/>
    <w:rsid w:val="3F972DFE"/>
    <w:rsid w:val="3F982F2C"/>
    <w:rsid w:val="3F993301"/>
    <w:rsid w:val="3F9B40F5"/>
    <w:rsid w:val="3F9D7BD2"/>
    <w:rsid w:val="3F9E0741"/>
    <w:rsid w:val="3FA45ACD"/>
    <w:rsid w:val="3FA51106"/>
    <w:rsid w:val="3FAB5529"/>
    <w:rsid w:val="3FB32F4A"/>
    <w:rsid w:val="3FB57686"/>
    <w:rsid w:val="3FB62C2C"/>
    <w:rsid w:val="3FBA2BB3"/>
    <w:rsid w:val="3FBD391E"/>
    <w:rsid w:val="3FBF3ABE"/>
    <w:rsid w:val="3FC652E6"/>
    <w:rsid w:val="3FCB1398"/>
    <w:rsid w:val="3FCD6896"/>
    <w:rsid w:val="3FD31F1C"/>
    <w:rsid w:val="3FD470B3"/>
    <w:rsid w:val="3FD801CC"/>
    <w:rsid w:val="3FDC259C"/>
    <w:rsid w:val="3FDD33A6"/>
    <w:rsid w:val="3FE80B3E"/>
    <w:rsid w:val="3FE8448F"/>
    <w:rsid w:val="3FEB4FBA"/>
    <w:rsid w:val="3FED036C"/>
    <w:rsid w:val="3FEE16BD"/>
    <w:rsid w:val="3FF2578F"/>
    <w:rsid w:val="3FF3291D"/>
    <w:rsid w:val="3FF35183"/>
    <w:rsid w:val="3FF4490F"/>
    <w:rsid w:val="3FFB7550"/>
    <w:rsid w:val="4003101B"/>
    <w:rsid w:val="40040E62"/>
    <w:rsid w:val="400411AB"/>
    <w:rsid w:val="40097ED4"/>
    <w:rsid w:val="400F1A7E"/>
    <w:rsid w:val="4013650D"/>
    <w:rsid w:val="40224723"/>
    <w:rsid w:val="4024031F"/>
    <w:rsid w:val="402769AB"/>
    <w:rsid w:val="4029301D"/>
    <w:rsid w:val="40297D18"/>
    <w:rsid w:val="402C7086"/>
    <w:rsid w:val="403403F4"/>
    <w:rsid w:val="4036300F"/>
    <w:rsid w:val="40373485"/>
    <w:rsid w:val="40374A52"/>
    <w:rsid w:val="403A0C68"/>
    <w:rsid w:val="40420FB3"/>
    <w:rsid w:val="40427926"/>
    <w:rsid w:val="404465A7"/>
    <w:rsid w:val="40465DB4"/>
    <w:rsid w:val="404A2B45"/>
    <w:rsid w:val="404B727B"/>
    <w:rsid w:val="4051638A"/>
    <w:rsid w:val="4053273E"/>
    <w:rsid w:val="40586B1A"/>
    <w:rsid w:val="40592F9A"/>
    <w:rsid w:val="405C46EC"/>
    <w:rsid w:val="40645970"/>
    <w:rsid w:val="406E640F"/>
    <w:rsid w:val="40777B57"/>
    <w:rsid w:val="407B5438"/>
    <w:rsid w:val="407D7B0B"/>
    <w:rsid w:val="40872860"/>
    <w:rsid w:val="40892C3F"/>
    <w:rsid w:val="408A4409"/>
    <w:rsid w:val="408F04FF"/>
    <w:rsid w:val="4091196E"/>
    <w:rsid w:val="40933A21"/>
    <w:rsid w:val="40953B65"/>
    <w:rsid w:val="40A10E2D"/>
    <w:rsid w:val="40A34B97"/>
    <w:rsid w:val="40A50D72"/>
    <w:rsid w:val="40A62CBC"/>
    <w:rsid w:val="40A74477"/>
    <w:rsid w:val="40A75108"/>
    <w:rsid w:val="40AB14CD"/>
    <w:rsid w:val="40AF577A"/>
    <w:rsid w:val="40B2039B"/>
    <w:rsid w:val="40B62E81"/>
    <w:rsid w:val="40B81B22"/>
    <w:rsid w:val="40BC7505"/>
    <w:rsid w:val="40C1207C"/>
    <w:rsid w:val="40C172AC"/>
    <w:rsid w:val="40C17E4D"/>
    <w:rsid w:val="40C55F8D"/>
    <w:rsid w:val="40C5600E"/>
    <w:rsid w:val="40C64143"/>
    <w:rsid w:val="40D13F2C"/>
    <w:rsid w:val="40D22994"/>
    <w:rsid w:val="40D31762"/>
    <w:rsid w:val="40D42663"/>
    <w:rsid w:val="40D52670"/>
    <w:rsid w:val="40DB5285"/>
    <w:rsid w:val="40E5653A"/>
    <w:rsid w:val="40E63E46"/>
    <w:rsid w:val="40E82F3F"/>
    <w:rsid w:val="40E8328F"/>
    <w:rsid w:val="40EB1510"/>
    <w:rsid w:val="40ED15CE"/>
    <w:rsid w:val="40ED530B"/>
    <w:rsid w:val="40F151FE"/>
    <w:rsid w:val="40F31A37"/>
    <w:rsid w:val="40F37EE9"/>
    <w:rsid w:val="40F522AF"/>
    <w:rsid w:val="40F81288"/>
    <w:rsid w:val="41000248"/>
    <w:rsid w:val="410419ED"/>
    <w:rsid w:val="4104397E"/>
    <w:rsid w:val="410727A8"/>
    <w:rsid w:val="410F638F"/>
    <w:rsid w:val="410F7AAD"/>
    <w:rsid w:val="41153493"/>
    <w:rsid w:val="411557D9"/>
    <w:rsid w:val="41156A94"/>
    <w:rsid w:val="411706B0"/>
    <w:rsid w:val="41175358"/>
    <w:rsid w:val="411811D5"/>
    <w:rsid w:val="41197446"/>
    <w:rsid w:val="4125135B"/>
    <w:rsid w:val="4126297D"/>
    <w:rsid w:val="412911E8"/>
    <w:rsid w:val="412A3388"/>
    <w:rsid w:val="412E4433"/>
    <w:rsid w:val="412E5EFC"/>
    <w:rsid w:val="41321849"/>
    <w:rsid w:val="41330FD0"/>
    <w:rsid w:val="41362318"/>
    <w:rsid w:val="4136672A"/>
    <w:rsid w:val="41386DA4"/>
    <w:rsid w:val="413A1854"/>
    <w:rsid w:val="413C1A76"/>
    <w:rsid w:val="41422093"/>
    <w:rsid w:val="41436DA0"/>
    <w:rsid w:val="414B6D3D"/>
    <w:rsid w:val="414E5F80"/>
    <w:rsid w:val="41514E0E"/>
    <w:rsid w:val="415171FD"/>
    <w:rsid w:val="41530D2D"/>
    <w:rsid w:val="41533BDC"/>
    <w:rsid w:val="415720A4"/>
    <w:rsid w:val="41572D1B"/>
    <w:rsid w:val="41581AA2"/>
    <w:rsid w:val="4159014F"/>
    <w:rsid w:val="41604B95"/>
    <w:rsid w:val="416A0B42"/>
    <w:rsid w:val="416A0C82"/>
    <w:rsid w:val="416C1A09"/>
    <w:rsid w:val="417050B7"/>
    <w:rsid w:val="41752A7C"/>
    <w:rsid w:val="41764C27"/>
    <w:rsid w:val="417769F6"/>
    <w:rsid w:val="417C35FA"/>
    <w:rsid w:val="41803DA8"/>
    <w:rsid w:val="41814C0A"/>
    <w:rsid w:val="418436CE"/>
    <w:rsid w:val="418631C6"/>
    <w:rsid w:val="41872ED0"/>
    <w:rsid w:val="4188555A"/>
    <w:rsid w:val="418870D7"/>
    <w:rsid w:val="418B180F"/>
    <w:rsid w:val="418B65E6"/>
    <w:rsid w:val="4192500F"/>
    <w:rsid w:val="419C7CBE"/>
    <w:rsid w:val="419D0870"/>
    <w:rsid w:val="419D129A"/>
    <w:rsid w:val="419E1A88"/>
    <w:rsid w:val="419E39DD"/>
    <w:rsid w:val="41A04B67"/>
    <w:rsid w:val="41A1397B"/>
    <w:rsid w:val="41A17B3E"/>
    <w:rsid w:val="41A4134F"/>
    <w:rsid w:val="41AE7032"/>
    <w:rsid w:val="41AF65DD"/>
    <w:rsid w:val="41B10164"/>
    <w:rsid w:val="41B4102B"/>
    <w:rsid w:val="41BE631A"/>
    <w:rsid w:val="41C34B5E"/>
    <w:rsid w:val="41C36863"/>
    <w:rsid w:val="41C40A68"/>
    <w:rsid w:val="41C64AEE"/>
    <w:rsid w:val="41C81784"/>
    <w:rsid w:val="41CE5F9C"/>
    <w:rsid w:val="41CE6C0E"/>
    <w:rsid w:val="41D102A8"/>
    <w:rsid w:val="41D34EEC"/>
    <w:rsid w:val="41D66E7D"/>
    <w:rsid w:val="41D818EF"/>
    <w:rsid w:val="41D87C00"/>
    <w:rsid w:val="41D9447A"/>
    <w:rsid w:val="41DC48D7"/>
    <w:rsid w:val="41E26577"/>
    <w:rsid w:val="41E76E0D"/>
    <w:rsid w:val="41EB650D"/>
    <w:rsid w:val="41F16692"/>
    <w:rsid w:val="41FA376E"/>
    <w:rsid w:val="41FE6CB2"/>
    <w:rsid w:val="42032AFE"/>
    <w:rsid w:val="420556C8"/>
    <w:rsid w:val="42057535"/>
    <w:rsid w:val="420C1102"/>
    <w:rsid w:val="4214720F"/>
    <w:rsid w:val="4215698E"/>
    <w:rsid w:val="421576E7"/>
    <w:rsid w:val="4217488D"/>
    <w:rsid w:val="421D56A4"/>
    <w:rsid w:val="421D7B36"/>
    <w:rsid w:val="4221530F"/>
    <w:rsid w:val="422345EF"/>
    <w:rsid w:val="42240668"/>
    <w:rsid w:val="42262DA1"/>
    <w:rsid w:val="422A1E24"/>
    <w:rsid w:val="422E486B"/>
    <w:rsid w:val="422F428A"/>
    <w:rsid w:val="42330617"/>
    <w:rsid w:val="423865E7"/>
    <w:rsid w:val="423A25B5"/>
    <w:rsid w:val="42497ED2"/>
    <w:rsid w:val="424A3927"/>
    <w:rsid w:val="424E09CD"/>
    <w:rsid w:val="42516E40"/>
    <w:rsid w:val="425668AD"/>
    <w:rsid w:val="42582F93"/>
    <w:rsid w:val="425A4600"/>
    <w:rsid w:val="4260713A"/>
    <w:rsid w:val="42607EA9"/>
    <w:rsid w:val="4265286C"/>
    <w:rsid w:val="42690B24"/>
    <w:rsid w:val="426E5B8B"/>
    <w:rsid w:val="427378E6"/>
    <w:rsid w:val="42737EF0"/>
    <w:rsid w:val="427B6471"/>
    <w:rsid w:val="427C184E"/>
    <w:rsid w:val="428260AB"/>
    <w:rsid w:val="42873566"/>
    <w:rsid w:val="42890C2F"/>
    <w:rsid w:val="428B14DB"/>
    <w:rsid w:val="428B5B04"/>
    <w:rsid w:val="42924E8D"/>
    <w:rsid w:val="42967401"/>
    <w:rsid w:val="4297748A"/>
    <w:rsid w:val="429A7FE7"/>
    <w:rsid w:val="429F313B"/>
    <w:rsid w:val="42A2575F"/>
    <w:rsid w:val="42A822A4"/>
    <w:rsid w:val="42A825EA"/>
    <w:rsid w:val="42AD55F5"/>
    <w:rsid w:val="42B0643C"/>
    <w:rsid w:val="42B302EA"/>
    <w:rsid w:val="42B3545B"/>
    <w:rsid w:val="42B450D9"/>
    <w:rsid w:val="42B54593"/>
    <w:rsid w:val="42B61338"/>
    <w:rsid w:val="42B72CB9"/>
    <w:rsid w:val="42B75E2D"/>
    <w:rsid w:val="42B90AAB"/>
    <w:rsid w:val="42C03FF4"/>
    <w:rsid w:val="42C14928"/>
    <w:rsid w:val="42C5009E"/>
    <w:rsid w:val="42C92A69"/>
    <w:rsid w:val="42D604C8"/>
    <w:rsid w:val="42D87724"/>
    <w:rsid w:val="42DF35C8"/>
    <w:rsid w:val="42E22316"/>
    <w:rsid w:val="42E36698"/>
    <w:rsid w:val="42E736DA"/>
    <w:rsid w:val="42E9081C"/>
    <w:rsid w:val="42EC2E29"/>
    <w:rsid w:val="42ED2458"/>
    <w:rsid w:val="42EF0CCD"/>
    <w:rsid w:val="42F1490F"/>
    <w:rsid w:val="42F25520"/>
    <w:rsid w:val="42F81BD3"/>
    <w:rsid w:val="42FA52E0"/>
    <w:rsid w:val="42FD559C"/>
    <w:rsid w:val="430B23FA"/>
    <w:rsid w:val="430D0405"/>
    <w:rsid w:val="4312542E"/>
    <w:rsid w:val="431417E6"/>
    <w:rsid w:val="4318449F"/>
    <w:rsid w:val="431F7799"/>
    <w:rsid w:val="432009E1"/>
    <w:rsid w:val="43206F9C"/>
    <w:rsid w:val="43233D79"/>
    <w:rsid w:val="432958E1"/>
    <w:rsid w:val="432E62EC"/>
    <w:rsid w:val="433429FE"/>
    <w:rsid w:val="4334351A"/>
    <w:rsid w:val="43353730"/>
    <w:rsid w:val="43396575"/>
    <w:rsid w:val="433B46C8"/>
    <w:rsid w:val="4351273E"/>
    <w:rsid w:val="4351304C"/>
    <w:rsid w:val="435661B8"/>
    <w:rsid w:val="435B7F8F"/>
    <w:rsid w:val="435C0226"/>
    <w:rsid w:val="435C3F50"/>
    <w:rsid w:val="435C677E"/>
    <w:rsid w:val="435D2A57"/>
    <w:rsid w:val="435E2E37"/>
    <w:rsid w:val="435E6B00"/>
    <w:rsid w:val="435F147C"/>
    <w:rsid w:val="43607646"/>
    <w:rsid w:val="43607AA4"/>
    <w:rsid w:val="436229EC"/>
    <w:rsid w:val="43647539"/>
    <w:rsid w:val="43664197"/>
    <w:rsid w:val="43733D13"/>
    <w:rsid w:val="4374621A"/>
    <w:rsid w:val="43757A94"/>
    <w:rsid w:val="43772AD7"/>
    <w:rsid w:val="43772BE4"/>
    <w:rsid w:val="4377334C"/>
    <w:rsid w:val="437B42D0"/>
    <w:rsid w:val="437F1B78"/>
    <w:rsid w:val="4382514B"/>
    <w:rsid w:val="43864163"/>
    <w:rsid w:val="438853F3"/>
    <w:rsid w:val="438907EF"/>
    <w:rsid w:val="438A4910"/>
    <w:rsid w:val="439223CF"/>
    <w:rsid w:val="439308B1"/>
    <w:rsid w:val="43943877"/>
    <w:rsid w:val="439936C4"/>
    <w:rsid w:val="43994328"/>
    <w:rsid w:val="439D3E7F"/>
    <w:rsid w:val="439E56DA"/>
    <w:rsid w:val="43A03519"/>
    <w:rsid w:val="43A0773A"/>
    <w:rsid w:val="43A30AD2"/>
    <w:rsid w:val="43A35347"/>
    <w:rsid w:val="43A5055C"/>
    <w:rsid w:val="43A84417"/>
    <w:rsid w:val="43A95555"/>
    <w:rsid w:val="43AA5E51"/>
    <w:rsid w:val="43B27F51"/>
    <w:rsid w:val="43BF7FC7"/>
    <w:rsid w:val="43C211B7"/>
    <w:rsid w:val="43C2164F"/>
    <w:rsid w:val="43CB596B"/>
    <w:rsid w:val="43D41C6F"/>
    <w:rsid w:val="43E232E1"/>
    <w:rsid w:val="43E567A6"/>
    <w:rsid w:val="43E627A0"/>
    <w:rsid w:val="43E801DB"/>
    <w:rsid w:val="43EA59BB"/>
    <w:rsid w:val="43F17C0D"/>
    <w:rsid w:val="43F84F4E"/>
    <w:rsid w:val="44031028"/>
    <w:rsid w:val="4406238A"/>
    <w:rsid w:val="440A5B01"/>
    <w:rsid w:val="440F71F0"/>
    <w:rsid w:val="441003F3"/>
    <w:rsid w:val="441369C8"/>
    <w:rsid w:val="44165D48"/>
    <w:rsid w:val="44186EAF"/>
    <w:rsid w:val="441C42F4"/>
    <w:rsid w:val="441F0817"/>
    <w:rsid w:val="441F1B44"/>
    <w:rsid w:val="441F3CB6"/>
    <w:rsid w:val="44201EE5"/>
    <w:rsid w:val="44230F47"/>
    <w:rsid w:val="4423221B"/>
    <w:rsid w:val="4426547A"/>
    <w:rsid w:val="44295215"/>
    <w:rsid w:val="442A33F4"/>
    <w:rsid w:val="442D597A"/>
    <w:rsid w:val="44312E08"/>
    <w:rsid w:val="4431365E"/>
    <w:rsid w:val="4431690E"/>
    <w:rsid w:val="443354E7"/>
    <w:rsid w:val="44354D70"/>
    <w:rsid w:val="44363ABF"/>
    <w:rsid w:val="44407B05"/>
    <w:rsid w:val="44465D22"/>
    <w:rsid w:val="44490D9B"/>
    <w:rsid w:val="444A4A07"/>
    <w:rsid w:val="44570940"/>
    <w:rsid w:val="44574B2B"/>
    <w:rsid w:val="44597AA8"/>
    <w:rsid w:val="445F6864"/>
    <w:rsid w:val="44614A39"/>
    <w:rsid w:val="44660907"/>
    <w:rsid w:val="44677256"/>
    <w:rsid w:val="446E2215"/>
    <w:rsid w:val="446E36E4"/>
    <w:rsid w:val="446F48BE"/>
    <w:rsid w:val="447153E4"/>
    <w:rsid w:val="44730D26"/>
    <w:rsid w:val="4473698E"/>
    <w:rsid w:val="44762A9C"/>
    <w:rsid w:val="44792B7D"/>
    <w:rsid w:val="447A4229"/>
    <w:rsid w:val="447D13CB"/>
    <w:rsid w:val="44811DFB"/>
    <w:rsid w:val="4482469A"/>
    <w:rsid w:val="44834D76"/>
    <w:rsid w:val="449049B2"/>
    <w:rsid w:val="44934238"/>
    <w:rsid w:val="44993369"/>
    <w:rsid w:val="449A124B"/>
    <w:rsid w:val="449A2278"/>
    <w:rsid w:val="449A3BBE"/>
    <w:rsid w:val="44A153A1"/>
    <w:rsid w:val="44A41705"/>
    <w:rsid w:val="44A42A17"/>
    <w:rsid w:val="44A53C78"/>
    <w:rsid w:val="44AB7230"/>
    <w:rsid w:val="44AB7AD0"/>
    <w:rsid w:val="44AE50C6"/>
    <w:rsid w:val="44AF3118"/>
    <w:rsid w:val="44AF4277"/>
    <w:rsid w:val="44B43D8F"/>
    <w:rsid w:val="44B72EFB"/>
    <w:rsid w:val="44BA0CE9"/>
    <w:rsid w:val="44BA2F8A"/>
    <w:rsid w:val="44BB1C9B"/>
    <w:rsid w:val="44C13355"/>
    <w:rsid w:val="44C207F8"/>
    <w:rsid w:val="44C27F05"/>
    <w:rsid w:val="44D40990"/>
    <w:rsid w:val="44D65CFD"/>
    <w:rsid w:val="44E50669"/>
    <w:rsid w:val="44E961E2"/>
    <w:rsid w:val="44EB164C"/>
    <w:rsid w:val="44F4601C"/>
    <w:rsid w:val="44F74C0C"/>
    <w:rsid w:val="44F90A00"/>
    <w:rsid w:val="44F91A02"/>
    <w:rsid w:val="44FB2595"/>
    <w:rsid w:val="44FE37D1"/>
    <w:rsid w:val="44FF0CD5"/>
    <w:rsid w:val="45062988"/>
    <w:rsid w:val="450655DE"/>
    <w:rsid w:val="45080466"/>
    <w:rsid w:val="450A4F92"/>
    <w:rsid w:val="45157862"/>
    <w:rsid w:val="451A210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D2E19"/>
    <w:rsid w:val="453F7618"/>
    <w:rsid w:val="4541568B"/>
    <w:rsid w:val="4541604F"/>
    <w:rsid w:val="45423191"/>
    <w:rsid w:val="454962E5"/>
    <w:rsid w:val="454D0A90"/>
    <w:rsid w:val="45500C3F"/>
    <w:rsid w:val="455456DA"/>
    <w:rsid w:val="4558792C"/>
    <w:rsid w:val="45597ECD"/>
    <w:rsid w:val="455A35D4"/>
    <w:rsid w:val="45631A69"/>
    <w:rsid w:val="45633430"/>
    <w:rsid w:val="45635E19"/>
    <w:rsid w:val="45650914"/>
    <w:rsid w:val="4567388B"/>
    <w:rsid w:val="45675262"/>
    <w:rsid w:val="45681FEC"/>
    <w:rsid w:val="45691AFB"/>
    <w:rsid w:val="456967CC"/>
    <w:rsid w:val="456E2A10"/>
    <w:rsid w:val="456E2FF2"/>
    <w:rsid w:val="457344AB"/>
    <w:rsid w:val="45743CAB"/>
    <w:rsid w:val="4579584D"/>
    <w:rsid w:val="457B046A"/>
    <w:rsid w:val="45845D00"/>
    <w:rsid w:val="45871AE5"/>
    <w:rsid w:val="45896527"/>
    <w:rsid w:val="458C06D4"/>
    <w:rsid w:val="45951587"/>
    <w:rsid w:val="459709F5"/>
    <w:rsid w:val="45976947"/>
    <w:rsid w:val="459D66FF"/>
    <w:rsid w:val="459F7C0E"/>
    <w:rsid w:val="45A71D2E"/>
    <w:rsid w:val="45AD646A"/>
    <w:rsid w:val="45AE45C8"/>
    <w:rsid w:val="45B317CF"/>
    <w:rsid w:val="45B50138"/>
    <w:rsid w:val="45B55619"/>
    <w:rsid w:val="45B81C9E"/>
    <w:rsid w:val="45BC136B"/>
    <w:rsid w:val="45BF4B17"/>
    <w:rsid w:val="45C34CC0"/>
    <w:rsid w:val="45C45E98"/>
    <w:rsid w:val="45C477D6"/>
    <w:rsid w:val="45C7443F"/>
    <w:rsid w:val="45CB77B5"/>
    <w:rsid w:val="45CE387D"/>
    <w:rsid w:val="45CF3D0C"/>
    <w:rsid w:val="45D21E42"/>
    <w:rsid w:val="45D6540C"/>
    <w:rsid w:val="45DA00BF"/>
    <w:rsid w:val="45DF0FD4"/>
    <w:rsid w:val="45E87C6B"/>
    <w:rsid w:val="45EB60AB"/>
    <w:rsid w:val="45F10307"/>
    <w:rsid w:val="45F234A5"/>
    <w:rsid w:val="45F70650"/>
    <w:rsid w:val="45FA1BEA"/>
    <w:rsid w:val="45FC4012"/>
    <w:rsid w:val="45FC4C31"/>
    <w:rsid w:val="45FE5C0E"/>
    <w:rsid w:val="4600101F"/>
    <w:rsid w:val="4601021B"/>
    <w:rsid w:val="46055C3D"/>
    <w:rsid w:val="460A71DA"/>
    <w:rsid w:val="460B5599"/>
    <w:rsid w:val="460C052B"/>
    <w:rsid w:val="46126101"/>
    <w:rsid w:val="46174DB8"/>
    <w:rsid w:val="461C257D"/>
    <w:rsid w:val="461E583A"/>
    <w:rsid w:val="46212468"/>
    <w:rsid w:val="46283117"/>
    <w:rsid w:val="462A26F1"/>
    <w:rsid w:val="462A5404"/>
    <w:rsid w:val="46330A6C"/>
    <w:rsid w:val="46353B16"/>
    <w:rsid w:val="46367AAC"/>
    <w:rsid w:val="46370057"/>
    <w:rsid w:val="463B1BA0"/>
    <w:rsid w:val="463B2ADE"/>
    <w:rsid w:val="46442C2E"/>
    <w:rsid w:val="464B3947"/>
    <w:rsid w:val="46532B01"/>
    <w:rsid w:val="46540E4D"/>
    <w:rsid w:val="46584184"/>
    <w:rsid w:val="4661416D"/>
    <w:rsid w:val="46630636"/>
    <w:rsid w:val="4664264C"/>
    <w:rsid w:val="46665B82"/>
    <w:rsid w:val="46687376"/>
    <w:rsid w:val="46696D7B"/>
    <w:rsid w:val="466A3D97"/>
    <w:rsid w:val="466B13E5"/>
    <w:rsid w:val="4670547D"/>
    <w:rsid w:val="467144E5"/>
    <w:rsid w:val="46736A34"/>
    <w:rsid w:val="467378A2"/>
    <w:rsid w:val="46814267"/>
    <w:rsid w:val="46822FF2"/>
    <w:rsid w:val="468431CC"/>
    <w:rsid w:val="46845983"/>
    <w:rsid w:val="46846139"/>
    <w:rsid w:val="468706E8"/>
    <w:rsid w:val="468B73C2"/>
    <w:rsid w:val="46934B28"/>
    <w:rsid w:val="4695611E"/>
    <w:rsid w:val="46A75545"/>
    <w:rsid w:val="46AB3E47"/>
    <w:rsid w:val="46AD5953"/>
    <w:rsid w:val="46AD62DE"/>
    <w:rsid w:val="46B06152"/>
    <w:rsid w:val="46B34986"/>
    <w:rsid w:val="46B56FB5"/>
    <w:rsid w:val="46B8054D"/>
    <w:rsid w:val="46B861B8"/>
    <w:rsid w:val="46C40A12"/>
    <w:rsid w:val="46C7114F"/>
    <w:rsid w:val="46CC70D8"/>
    <w:rsid w:val="46CC7F38"/>
    <w:rsid w:val="46CD4E36"/>
    <w:rsid w:val="46CF0DEB"/>
    <w:rsid w:val="46D4028D"/>
    <w:rsid w:val="46D7105C"/>
    <w:rsid w:val="46DB6A13"/>
    <w:rsid w:val="46DD5FAF"/>
    <w:rsid w:val="46DE7C78"/>
    <w:rsid w:val="46DF5460"/>
    <w:rsid w:val="46E05A23"/>
    <w:rsid w:val="46E06AAD"/>
    <w:rsid w:val="46E10088"/>
    <w:rsid w:val="46E42B8B"/>
    <w:rsid w:val="46E8617B"/>
    <w:rsid w:val="46EA398E"/>
    <w:rsid w:val="46F14E1C"/>
    <w:rsid w:val="46F273D7"/>
    <w:rsid w:val="46F431B3"/>
    <w:rsid w:val="46F46934"/>
    <w:rsid w:val="46F602AC"/>
    <w:rsid w:val="46F7125D"/>
    <w:rsid w:val="46FD6193"/>
    <w:rsid w:val="47055E0C"/>
    <w:rsid w:val="470614FC"/>
    <w:rsid w:val="470775F3"/>
    <w:rsid w:val="47091A3A"/>
    <w:rsid w:val="47094574"/>
    <w:rsid w:val="470A39CA"/>
    <w:rsid w:val="470B2DC9"/>
    <w:rsid w:val="470B390C"/>
    <w:rsid w:val="470C108A"/>
    <w:rsid w:val="4712385D"/>
    <w:rsid w:val="47143B5A"/>
    <w:rsid w:val="471B736C"/>
    <w:rsid w:val="47215B1D"/>
    <w:rsid w:val="47235B2C"/>
    <w:rsid w:val="472748E0"/>
    <w:rsid w:val="47274DE5"/>
    <w:rsid w:val="472D0460"/>
    <w:rsid w:val="472D411F"/>
    <w:rsid w:val="472E2DEC"/>
    <w:rsid w:val="473026ED"/>
    <w:rsid w:val="47324C7B"/>
    <w:rsid w:val="47340CE9"/>
    <w:rsid w:val="47382FDF"/>
    <w:rsid w:val="473833A0"/>
    <w:rsid w:val="4738492A"/>
    <w:rsid w:val="47386626"/>
    <w:rsid w:val="473916F7"/>
    <w:rsid w:val="473A2A95"/>
    <w:rsid w:val="473A3AD8"/>
    <w:rsid w:val="473B48E2"/>
    <w:rsid w:val="47440B1C"/>
    <w:rsid w:val="47461A19"/>
    <w:rsid w:val="474B033A"/>
    <w:rsid w:val="474D6B67"/>
    <w:rsid w:val="474E3CCE"/>
    <w:rsid w:val="474E5072"/>
    <w:rsid w:val="474E6EC0"/>
    <w:rsid w:val="475A014C"/>
    <w:rsid w:val="475F52A5"/>
    <w:rsid w:val="47647BF3"/>
    <w:rsid w:val="47650EFE"/>
    <w:rsid w:val="476A559E"/>
    <w:rsid w:val="476E63C6"/>
    <w:rsid w:val="47701E1E"/>
    <w:rsid w:val="47743C51"/>
    <w:rsid w:val="47760FEE"/>
    <w:rsid w:val="47762B20"/>
    <w:rsid w:val="47766D56"/>
    <w:rsid w:val="477954DD"/>
    <w:rsid w:val="477B7861"/>
    <w:rsid w:val="4780109B"/>
    <w:rsid w:val="478349BA"/>
    <w:rsid w:val="47841F84"/>
    <w:rsid w:val="478D02EE"/>
    <w:rsid w:val="478F2C52"/>
    <w:rsid w:val="47913274"/>
    <w:rsid w:val="479333F5"/>
    <w:rsid w:val="479453B5"/>
    <w:rsid w:val="47974EBF"/>
    <w:rsid w:val="479B37FB"/>
    <w:rsid w:val="479C0703"/>
    <w:rsid w:val="47A07EF9"/>
    <w:rsid w:val="47A25784"/>
    <w:rsid w:val="47A62310"/>
    <w:rsid w:val="47AA41FD"/>
    <w:rsid w:val="47AC7C90"/>
    <w:rsid w:val="47AE368F"/>
    <w:rsid w:val="47AE3E9C"/>
    <w:rsid w:val="47BD7E3A"/>
    <w:rsid w:val="47C77300"/>
    <w:rsid w:val="47D03D38"/>
    <w:rsid w:val="47D72108"/>
    <w:rsid w:val="47D735E8"/>
    <w:rsid w:val="47D73DD3"/>
    <w:rsid w:val="47D754ED"/>
    <w:rsid w:val="47D968A0"/>
    <w:rsid w:val="47DC0A82"/>
    <w:rsid w:val="47DC5693"/>
    <w:rsid w:val="47E05908"/>
    <w:rsid w:val="47E6279E"/>
    <w:rsid w:val="47E63FE1"/>
    <w:rsid w:val="47E71B8A"/>
    <w:rsid w:val="47E72B65"/>
    <w:rsid w:val="47E73175"/>
    <w:rsid w:val="47E73DED"/>
    <w:rsid w:val="47E94F01"/>
    <w:rsid w:val="47F469EF"/>
    <w:rsid w:val="47F90017"/>
    <w:rsid w:val="47FE498C"/>
    <w:rsid w:val="47FF24E4"/>
    <w:rsid w:val="47FF743A"/>
    <w:rsid w:val="48003281"/>
    <w:rsid w:val="4802418F"/>
    <w:rsid w:val="480E23F1"/>
    <w:rsid w:val="481254AA"/>
    <w:rsid w:val="48126E12"/>
    <w:rsid w:val="48135341"/>
    <w:rsid w:val="48147DE1"/>
    <w:rsid w:val="4818087E"/>
    <w:rsid w:val="481967BC"/>
    <w:rsid w:val="48197F67"/>
    <w:rsid w:val="481D0901"/>
    <w:rsid w:val="481E2997"/>
    <w:rsid w:val="481E4905"/>
    <w:rsid w:val="48217A95"/>
    <w:rsid w:val="4822244F"/>
    <w:rsid w:val="48251E66"/>
    <w:rsid w:val="482A6776"/>
    <w:rsid w:val="482C496F"/>
    <w:rsid w:val="48303484"/>
    <w:rsid w:val="4834135F"/>
    <w:rsid w:val="48346940"/>
    <w:rsid w:val="48377CE3"/>
    <w:rsid w:val="48393F25"/>
    <w:rsid w:val="483E3DD0"/>
    <w:rsid w:val="48400252"/>
    <w:rsid w:val="48427A4D"/>
    <w:rsid w:val="48446F23"/>
    <w:rsid w:val="484E0854"/>
    <w:rsid w:val="48517833"/>
    <w:rsid w:val="48535901"/>
    <w:rsid w:val="48542AD8"/>
    <w:rsid w:val="48576F86"/>
    <w:rsid w:val="485B7A09"/>
    <w:rsid w:val="48601F1B"/>
    <w:rsid w:val="4860234E"/>
    <w:rsid w:val="48615B6E"/>
    <w:rsid w:val="48635DDB"/>
    <w:rsid w:val="486457B8"/>
    <w:rsid w:val="486C2522"/>
    <w:rsid w:val="486F23BB"/>
    <w:rsid w:val="486F725D"/>
    <w:rsid w:val="4872228E"/>
    <w:rsid w:val="48727E06"/>
    <w:rsid w:val="48761D32"/>
    <w:rsid w:val="48880174"/>
    <w:rsid w:val="488811AB"/>
    <w:rsid w:val="488F67AB"/>
    <w:rsid w:val="48915121"/>
    <w:rsid w:val="48946E42"/>
    <w:rsid w:val="48963808"/>
    <w:rsid w:val="48983085"/>
    <w:rsid w:val="489A2DBE"/>
    <w:rsid w:val="489D4DCE"/>
    <w:rsid w:val="489E0A6C"/>
    <w:rsid w:val="48A260BC"/>
    <w:rsid w:val="48A330F7"/>
    <w:rsid w:val="48A5260C"/>
    <w:rsid w:val="48A6395B"/>
    <w:rsid w:val="48A74E36"/>
    <w:rsid w:val="48AD2CB1"/>
    <w:rsid w:val="48AD72C6"/>
    <w:rsid w:val="48AF3B8C"/>
    <w:rsid w:val="48B157CB"/>
    <w:rsid w:val="48B3188D"/>
    <w:rsid w:val="48B92E68"/>
    <w:rsid w:val="48BE1954"/>
    <w:rsid w:val="48C75FB9"/>
    <w:rsid w:val="48C8522F"/>
    <w:rsid w:val="48CB6C5A"/>
    <w:rsid w:val="48D06C71"/>
    <w:rsid w:val="48D23681"/>
    <w:rsid w:val="48DB7460"/>
    <w:rsid w:val="48DC46E1"/>
    <w:rsid w:val="48DD2F42"/>
    <w:rsid w:val="48DF5221"/>
    <w:rsid w:val="48DF6F67"/>
    <w:rsid w:val="48E14DCD"/>
    <w:rsid w:val="48E45A97"/>
    <w:rsid w:val="48E54B2D"/>
    <w:rsid w:val="48E717A3"/>
    <w:rsid w:val="48E92B4A"/>
    <w:rsid w:val="48EA2311"/>
    <w:rsid w:val="48F3299B"/>
    <w:rsid w:val="48F36F73"/>
    <w:rsid w:val="48F87799"/>
    <w:rsid w:val="48FA41DA"/>
    <w:rsid w:val="48FD5FB6"/>
    <w:rsid w:val="48FE7EBB"/>
    <w:rsid w:val="4903303B"/>
    <w:rsid w:val="49082409"/>
    <w:rsid w:val="490B4253"/>
    <w:rsid w:val="490C37DF"/>
    <w:rsid w:val="490E76E4"/>
    <w:rsid w:val="491128E1"/>
    <w:rsid w:val="49142E59"/>
    <w:rsid w:val="491432B2"/>
    <w:rsid w:val="491A1F5D"/>
    <w:rsid w:val="491A7A8B"/>
    <w:rsid w:val="492070D6"/>
    <w:rsid w:val="49260120"/>
    <w:rsid w:val="4927154D"/>
    <w:rsid w:val="492B3A51"/>
    <w:rsid w:val="4934122F"/>
    <w:rsid w:val="493565CC"/>
    <w:rsid w:val="49390A94"/>
    <w:rsid w:val="493D13E1"/>
    <w:rsid w:val="493D4031"/>
    <w:rsid w:val="49442B61"/>
    <w:rsid w:val="49445090"/>
    <w:rsid w:val="49465877"/>
    <w:rsid w:val="494673D9"/>
    <w:rsid w:val="494B2941"/>
    <w:rsid w:val="494B3B51"/>
    <w:rsid w:val="494C4BDF"/>
    <w:rsid w:val="49511EA6"/>
    <w:rsid w:val="49556339"/>
    <w:rsid w:val="49570BCE"/>
    <w:rsid w:val="495744D2"/>
    <w:rsid w:val="4958594F"/>
    <w:rsid w:val="495B30CC"/>
    <w:rsid w:val="496037A6"/>
    <w:rsid w:val="4961566E"/>
    <w:rsid w:val="49617ED5"/>
    <w:rsid w:val="49623DE1"/>
    <w:rsid w:val="496257F5"/>
    <w:rsid w:val="496654E3"/>
    <w:rsid w:val="49671C94"/>
    <w:rsid w:val="496A58C4"/>
    <w:rsid w:val="496B472D"/>
    <w:rsid w:val="496F6C3C"/>
    <w:rsid w:val="49704B16"/>
    <w:rsid w:val="49733329"/>
    <w:rsid w:val="497C4012"/>
    <w:rsid w:val="49801BB7"/>
    <w:rsid w:val="49806636"/>
    <w:rsid w:val="49822362"/>
    <w:rsid w:val="49831A30"/>
    <w:rsid w:val="498450C2"/>
    <w:rsid w:val="498574FA"/>
    <w:rsid w:val="49870CB8"/>
    <w:rsid w:val="49871D7B"/>
    <w:rsid w:val="4988097A"/>
    <w:rsid w:val="498A1EB9"/>
    <w:rsid w:val="498E7D73"/>
    <w:rsid w:val="499123DA"/>
    <w:rsid w:val="499531E3"/>
    <w:rsid w:val="49A01670"/>
    <w:rsid w:val="49A25351"/>
    <w:rsid w:val="49A5353C"/>
    <w:rsid w:val="49A61B96"/>
    <w:rsid w:val="49AA3881"/>
    <w:rsid w:val="49AA64BB"/>
    <w:rsid w:val="49AB5906"/>
    <w:rsid w:val="49AB5C0F"/>
    <w:rsid w:val="49B20B48"/>
    <w:rsid w:val="49B55D27"/>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17C98"/>
    <w:rsid w:val="4A080E5C"/>
    <w:rsid w:val="4A0B352C"/>
    <w:rsid w:val="4A0C0468"/>
    <w:rsid w:val="4A0F3A1C"/>
    <w:rsid w:val="4A105073"/>
    <w:rsid w:val="4A1C1EE0"/>
    <w:rsid w:val="4A1C512E"/>
    <w:rsid w:val="4A1D2C8C"/>
    <w:rsid w:val="4A1E5730"/>
    <w:rsid w:val="4A1E5AFF"/>
    <w:rsid w:val="4A2070E3"/>
    <w:rsid w:val="4A210B7E"/>
    <w:rsid w:val="4A224267"/>
    <w:rsid w:val="4A24130F"/>
    <w:rsid w:val="4A2716CA"/>
    <w:rsid w:val="4A280770"/>
    <w:rsid w:val="4A294C7A"/>
    <w:rsid w:val="4A2B636B"/>
    <w:rsid w:val="4A335E86"/>
    <w:rsid w:val="4A345CFB"/>
    <w:rsid w:val="4A357040"/>
    <w:rsid w:val="4A3B0DBF"/>
    <w:rsid w:val="4A3C074A"/>
    <w:rsid w:val="4A3C6C2D"/>
    <w:rsid w:val="4A3D1BC3"/>
    <w:rsid w:val="4A3D5CBA"/>
    <w:rsid w:val="4A401246"/>
    <w:rsid w:val="4A417E42"/>
    <w:rsid w:val="4A454D21"/>
    <w:rsid w:val="4A535B24"/>
    <w:rsid w:val="4A545D35"/>
    <w:rsid w:val="4A55194D"/>
    <w:rsid w:val="4A5B1329"/>
    <w:rsid w:val="4A5B7FD1"/>
    <w:rsid w:val="4A5E737E"/>
    <w:rsid w:val="4A6159C0"/>
    <w:rsid w:val="4A631F98"/>
    <w:rsid w:val="4A6579CD"/>
    <w:rsid w:val="4A672F5C"/>
    <w:rsid w:val="4A6B6B3E"/>
    <w:rsid w:val="4A6C083F"/>
    <w:rsid w:val="4A724018"/>
    <w:rsid w:val="4A726BD6"/>
    <w:rsid w:val="4A7417EC"/>
    <w:rsid w:val="4A74295B"/>
    <w:rsid w:val="4A755FA4"/>
    <w:rsid w:val="4A756D0D"/>
    <w:rsid w:val="4A775D75"/>
    <w:rsid w:val="4A7B6771"/>
    <w:rsid w:val="4A7C187A"/>
    <w:rsid w:val="4A7F6FEC"/>
    <w:rsid w:val="4A8369E6"/>
    <w:rsid w:val="4A853B44"/>
    <w:rsid w:val="4A89373F"/>
    <w:rsid w:val="4A8D167D"/>
    <w:rsid w:val="4A8E1531"/>
    <w:rsid w:val="4A910C23"/>
    <w:rsid w:val="4A966E56"/>
    <w:rsid w:val="4A974D5B"/>
    <w:rsid w:val="4A997F8F"/>
    <w:rsid w:val="4A9C2DCD"/>
    <w:rsid w:val="4A9F1ACB"/>
    <w:rsid w:val="4AA05291"/>
    <w:rsid w:val="4AA14390"/>
    <w:rsid w:val="4AA22C7D"/>
    <w:rsid w:val="4AA877C3"/>
    <w:rsid w:val="4AAA4B07"/>
    <w:rsid w:val="4AAC0396"/>
    <w:rsid w:val="4AAE744D"/>
    <w:rsid w:val="4AB308B1"/>
    <w:rsid w:val="4AB42396"/>
    <w:rsid w:val="4AB529C0"/>
    <w:rsid w:val="4AB87BE0"/>
    <w:rsid w:val="4ABA7F00"/>
    <w:rsid w:val="4ABD6D28"/>
    <w:rsid w:val="4AC230D3"/>
    <w:rsid w:val="4AC27264"/>
    <w:rsid w:val="4AC740F5"/>
    <w:rsid w:val="4ACB13CF"/>
    <w:rsid w:val="4ACC69CB"/>
    <w:rsid w:val="4AD06C7D"/>
    <w:rsid w:val="4AD466D9"/>
    <w:rsid w:val="4AD6694F"/>
    <w:rsid w:val="4ADE4335"/>
    <w:rsid w:val="4AE964A0"/>
    <w:rsid w:val="4AF157AF"/>
    <w:rsid w:val="4AF20166"/>
    <w:rsid w:val="4AF250F4"/>
    <w:rsid w:val="4AF30717"/>
    <w:rsid w:val="4B002C3A"/>
    <w:rsid w:val="4B026804"/>
    <w:rsid w:val="4B03068A"/>
    <w:rsid w:val="4B0346BA"/>
    <w:rsid w:val="4B04025E"/>
    <w:rsid w:val="4B045160"/>
    <w:rsid w:val="4B052A2F"/>
    <w:rsid w:val="4B055C00"/>
    <w:rsid w:val="4B0A2867"/>
    <w:rsid w:val="4B0C0DD8"/>
    <w:rsid w:val="4B135609"/>
    <w:rsid w:val="4B1606EF"/>
    <w:rsid w:val="4B1C67FA"/>
    <w:rsid w:val="4B1D2051"/>
    <w:rsid w:val="4B206A6B"/>
    <w:rsid w:val="4B297805"/>
    <w:rsid w:val="4B2C4BDE"/>
    <w:rsid w:val="4B2C6873"/>
    <w:rsid w:val="4B3529AA"/>
    <w:rsid w:val="4B3C403E"/>
    <w:rsid w:val="4B3D64CE"/>
    <w:rsid w:val="4B417217"/>
    <w:rsid w:val="4B426FC8"/>
    <w:rsid w:val="4B4A1E20"/>
    <w:rsid w:val="4B4B77CC"/>
    <w:rsid w:val="4B4F2FCA"/>
    <w:rsid w:val="4B4F3F08"/>
    <w:rsid w:val="4B585189"/>
    <w:rsid w:val="4B594B62"/>
    <w:rsid w:val="4B595225"/>
    <w:rsid w:val="4B5B261F"/>
    <w:rsid w:val="4B6305EB"/>
    <w:rsid w:val="4B643275"/>
    <w:rsid w:val="4B687FD4"/>
    <w:rsid w:val="4B741C5B"/>
    <w:rsid w:val="4B7831B7"/>
    <w:rsid w:val="4B811257"/>
    <w:rsid w:val="4B816D3B"/>
    <w:rsid w:val="4B821B36"/>
    <w:rsid w:val="4B827CCC"/>
    <w:rsid w:val="4B83233B"/>
    <w:rsid w:val="4B8A674C"/>
    <w:rsid w:val="4B8F2EB1"/>
    <w:rsid w:val="4B924EC9"/>
    <w:rsid w:val="4B9419F7"/>
    <w:rsid w:val="4B9470E1"/>
    <w:rsid w:val="4B985B74"/>
    <w:rsid w:val="4B9B0E7F"/>
    <w:rsid w:val="4B9E2880"/>
    <w:rsid w:val="4BA14908"/>
    <w:rsid w:val="4BA96810"/>
    <w:rsid w:val="4BAC02EC"/>
    <w:rsid w:val="4BAD645F"/>
    <w:rsid w:val="4BAF24E2"/>
    <w:rsid w:val="4BAF7626"/>
    <w:rsid w:val="4BB75525"/>
    <w:rsid w:val="4BBA5A6C"/>
    <w:rsid w:val="4BBE10A9"/>
    <w:rsid w:val="4BC7200D"/>
    <w:rsid w:val="4BCA66FC"/>
    <w:rsid w:val="4BCA7F29"/>
    <w:rsid w:val="4BD306E4"/>
    <w:rsid w:val="4BD379E9"/>
    <w:rsid w:val="4BD62466"/>
    <w:rsid w:val="4BDD394A"/>
    <w:rsid w:val="4BDF3626"/>
    <w:rsid w:val="4BE23FF0"/>
    <w:rsid w:val="4BE27C81"/>
    <w:rsid w:val="4BED0DF8"/>
    <w:rsid w:val="4BF03E60"/>
    <w:rsid w:val="4BF178E8"/>
    <w:rsid w:val="4BF644B2"/>
    <w:rsid w:val="4BFD1A3C"/>
    <w:rsid w:val="4C0074CC"/>
    <w:rsid w:val="4C021DD3"/>
    <w:rsid w:val="4C053F9C"/>
    <w:rsid w:val="4C057789"/>
    <w:rsid w:val="4C060683"/>
    <w:rsid w:val="4C090003"/>
    <w:rsid w:val="4C0E4DDE"/>
    <w:rsid w:val="4C0F1FA0"/>
    <w:rsid w:val="4C1A44FD"/>
    <w:rsid w:val="4C1B4CDE"/>
    <w:rsid w:val="4C1B6E3F"/>
    <w:rsid w:val="4C1D30A7"/>
    <w:rsid w:val="4C1E162E"/>
    <w:rsid w:val="4C1E4551"/>
    <w:rsid w:val="4C1F400D"/>
    <w:rsid w:val="4C2013C6"/>
    <w:rsid w:val="4C222801"/>
    <w:rsid w:val="4C233E2F"/>
    <w:rsid w:val="4C2744DE"/>
    <w:rsid w:val="4C2B02A7"/>
    <w:rsid w:val="4C2C0EBD"/>
    <w:rsid w:val="4C2D318E"/>
    <w:rsid w:val="4C366339"/>
    <w:rsid w:val="4C414B8D"/>
    <w:rsid w:val="4C4416FF"/>
    <w:rsid w:val="4C443324"/>
    <w:rsid w:val="4C453AD5"/>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D5048"/>
    <w:rsid w:val="4C71705A"/>
    <w:rsid w:val="4C734A5D"/>
    <w:rsid w:val="4C745171"/>
    <w:rsid w:val="4C745B34"/>
    <w:rsid w:val="4C750FB7"/>
    <w:rsid w:val="4C7B0F88"/>
    <w:rsid w:val="4C7C25EF"/>
    <w:rsid w:val="4C804B21"/>
    <w:rsid w:val="4C83194C"/>
    <w:rsid w:val="4C847498"/>
    <w:rsid w:val="4C8B2D43"/>
    <w:rsid w:val="4C8D327F"/>
    <w:rsid w:val="4C8E5A77"/>
    <w:rsid w:val="4C907BF3"/>
    <w:rsid w:val="4C917563"/>
    <w:rsid w:val="4C922679"/>
    <w:rsid w:val="4C92692A"/>
    <w:rsid w:val="4C95633A"/>
    <w:rsid w:val="4C9A62D2"/>
    <w:rsid w:val="4C9B3D8F"/>
    <w:rsid w:val="4C9D4E3B"/>
    <w:rsid w:val="4CA5226F"/>
    <w:rsid w:val="4CA777A5"/>
    <w:rsid w:val="4CAA28BF"/>
    <w:rsid w:val="4CAD1D03"/>
    <w:rsid w:val="4CB00B98"/>
    <w:rsid w:val="4CB77F7C"/>
    <w:rsid w:val="4CBB7157"/>
    <w:rsid w:val="4CBC0069"/>
    <w:rsid w:val="4CBE1FB4"/>
    <w:rsid w:val="4CBE4327"/>
    <w:rsid w:val="4CBF5365"/>
    <w:rsid w:val="4CC0313C"/>
    <w:rsid w:val="4CCD23D3"/>
    <w:rsid w:val="4CCF711C"/>
    <w:rsid w:val="4CD002C5"/>
    <w:rsid w:val="4CD10F14"/>
    <w:rsid w:val="4CD50CA4"/>
    <w:rsid w:val="4CD652AC"/>
    <w:rsid w:val="4CDE493D"/>
    <w:rsid w:val="4CDF1E61"/>
    <w:rsid w:val="4CE120D1"/>
    <w:rsid w:val="4CE1210C"/>
    <w:rsid w:val="4CE5674C"/>
    <w:rsid w:val="4CE65120"/>
    <w:rsid w:val="4CE953A1"/>
    <w:rsid w:val="4CE96F6F"/>
    <w:rsid w:val="4CEA05FD"/>
    <w:rsid w:val="4CEC147B"/>
    <w:rsid w:val="4CEE2310"/>
    <w:rsid w:val="4CEF2159"/>
    <w:rsid w:val="4CF21274"/>
    <w:rsid w:val="4CF24A2D"/>
    <w:rsid w:val="4CFF26AB"/>
    <w:rsid w:val="4D07047F"/>
    <w:rsid w:val="4D074256"/>
    <w:rsid w:val="4D0B4433"/>
    <w:rsid w:val="4D1229CC"/>
    <w:rsid w:val="4D133A14"/>
    <w:rsid w:val="4D171CA2"/>
    <w:rsid w:val="4D186AB8"/>
    <w:rsid w:val="4D1A5DA8"/>
    <w:rsid w:val="4D210FEA"/>
    <w:rsid w:val="4D243C2E"/>
    <w:rsid w:val="4D2455C8"/>
    <w:rsid w:val="4D2D3744"/>
    <w:rsid w:val="4D2D48CF"/>
    <w:rsid w:val="4D2D7483"/>
    <w:rsid w:val="4D2D7C2A"/>
    <w:rsid w:val="4D327C82"/>
    <w:rsid w:val="4D357B50"/>
    <w:rsid w:val="4D3B0776"/>
    <w:rsid w:val="4D3B78D6"/>
    <w:rsid w:val="4D3C6DD0"/>
    <w:rsid w:val="4D3C6E85"/>
    <w:rsid w:val="4D452E9A"/>
    <w:rsid w:val="4D4915C0"/>
    <w:rsid w:val="4D497A50"/>
    <w:rsid w:val="4D4E1B73"/>
    <w:rsid w:val="4D5448EE"/>
    <w:rsid w:val="4D547B90"/>
    <w:rsid w:val="4D5545A3"/>
    <w:rsid w:val="4D56242D"/>
    <w:rsid w:val="4D5742F7"/>
    <w:rsid w:val="4D5816C9"/>
    <w:rsid w:val="4D5D4E7C"/>
    <w:rsid w:val="4D5E0D8B"/>
    <w:rsid w:val="4D5E313C"/>
    <w:rsid w:val="4D63794E"/>
    <w:rsid w:val="4D696340"/>
    <w:rsid w:val="4D696364"/>
    <w:rsid w:val="4D6E2B65"/>
    <w:rsid w:val="4D706A9D"/>
    <w:rsid w:val="4D717673"/>
    <w:rsid w:val="4D7464F6"/>
    <w:rsid w:val="4D75266B"/>
    <w:rsid w:val="4D7639FF"/>
    <w:rsid w:val="4D773185"/>
    <w:rsid w:val="4D780CE4"/>
    <w:rsid w:val="4D7A12F0"/>
    <w:rsid w:val="4D7C1C72"/>
    <w:rsid w:val="4D7D74B5"/>
    <w:rsid w:val="4D820378"/>
    <w:rsid w:val="4D8412B2"/>
    <w:rsid w:val="4D841638"/>
    <w:rsid w:val="4D866EF9"/>
    <w:rsid w:val="4D8808E0"/>
    <w:rsid w:val="4D8A3A34"/>
    <w:rsid w:val="4D8C2260"/>
    <w:rsid w:val="4D8D7123"/>
    <w:rsid w:val="4D931B21"/>
    <w:rsid w:val="4D947DEA"/>
    <w:rsid w:val="4D962DD6"/>
    <w:rsid w:val="4D981807"/>
    <w:rsid w:val="4DA7449C"/>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26A39"/>
    <w:rsid w:val="4DDB6B69"/>
    <w:rsid w:val="4DDE609A"/>
    <w:rsid w:val="4DE100E7"/>
    <w:rsid w:val="4DE52367"/>
    <w:rsid w:val="4DE961A1"/>
    <w:rsid w:val="4DEE222F"/>
    <w:rsid w:val="4DF56404"/>
    <w:rsid w:val="4DF57D5B"/>
    <w:rsid w:val="4DF869E7"/>
    <w:rsid w:val="4DF9057F"/>
    <w:rsid w:val="4DFB05FF"/>
    <w:rsid w:val="4DFB4AE2"/>
    <w:rsid w:val="4E0579FF"/>
    <w:rsid w:val="4E06445E"/>
    <w:rsid w:val="4E0A3C50"/>
    <w:rsid w:val="4E0D58F7"/>
    <w:rsid w:val="4E0F2BD3"/>
    <w:rsid w:val="4E101469"/>
    <w:rsid w:val="4E144EFE"/>
    <w:rsid w:val="4E17118C"/>
    <w:rsid w:val="4E172296"/>
    <w:rsid w:val="4E1B2345"/>
    <w:rsid w:val="4E225167"/>
    <w:rsid w:val="4E2530FC"/>
    <w:rsid w:val="4E31287B"/>
    <w:rsid w:val="4E357F6B"/>
    <w:rsid w:val="4E371BF7"/>
    <w:rsid w:val="4E387B7B"/>
    <w:rsid w:val="4E4268A0"/>
    <w:rsid w:val="4E450263"/>
    <w:rsid w:val="4E467BC9"/>
    <w:rsid w:val="4E48023D"/>
    <w:rsid w:val="4E4A43DD"/>
    <w:rsid w:val="4E4B6E3D"/>
    <w:rsid w:val="4E4D33C9"/>
    <w:rsid w:val="4E5516ED"/>
    <w:rsid w:val="4E5B1BFD"/>
    <w:rsid w:val="4E5C715A"/>
    <w:rsid w:val="4E5E1F38"/>
    <w:rsid w:val="4E5F36B7"/>
    <w:rsid w:val="4E6C140A"/>
    <w:rsid w:val="4E6C617F"/>
    <w:rsid w:val="4E6D4DA7"/>
    <w:rsid w:val="4E7964A9"/>
    <w:rsid w:val="4E7D1F26"/>
    <w:rsid w:val="4E7F10F7"/>
    <w:rsid w:val="4E833A1C"/>
    <w:rsid w:val="4E8B5727"/>
    <w:rsid w:val="4E8D5B77"/>
    <w:rsid w:val="4E9A16A3"/>
    <w:rsid w:val="4E9F5822"/>
    <w:rsid w:val="4E9F6EED"/>
    <w:rsid w:val="4EA303F4"/>
    <w:rsid w:val="4EA4727C"/>
    <w:rsid w:val="4EA62C4C"/>
    <w:rsid w:val="4EA956D7"/>
    <w:rsid w:val="4EAB35D7"/>
    <w:rsid w:val="4EAB4013"/>
    <w:rsid w:val="4EAD248B"/>
    <w:rsid w:val="4EAD5507"/>
    <w:rsid w:val="4EB03A28"/>
    <w:rsid w:val="4EB37DFC"/>
    <w:rsid w:val="4EB54156"/>
    <w:rsid w:val="4EBB7465"/>
    <w:rsid w:val="4EBC593E"/>
    <w:rsid w:val="4EBE5B79"/>
    <w:rsid w:val="4EBF4430"/>
    <w:rsid w:val="4EC741A5"/>
    <w:rsid w:val="4EC92108"/>
    <w:rsid w:val="4ECA3468"/>
    <w:rsid w:val="4ECF08A6"/>
    <w:rsid w:val="4ED208AF"/>
    <w:rsid w:val="4ED765C7"/>
    <w:rsid w:val="4ED77782"/>
    <w:rsid w:val="4ED86F11"/>
    <w:rsid w:val="4ED94CBD"/>
    <w:rsid w:val="4EDC0D48"/>
    <w:rsid w:val="4EE47050"/>
    <w:rsid w:val="4EEA0EBA"/>
    <w:rsid w:val="4EEC45A6"/>
    <w:rsid w:val="4EED1C0E"/>
    <w:rsid w:val="4EED6A77"/>
    <w:rsid w:val="4EEE2451"/>
    <w:rsid w:val="4EEE7018"/>
    <w:rsid w:val="4EF011D4"/>
    <w:rsid w:val="4EF643AA"/>
    <w:rsid w:val="4EF824C8"/>
    <w:rsid w:val="4EF86446"/>
    <w:rsid w:val="4EFF1477"/>
    <w:rsid w:val="4F016373"/>
    <w:rsid w:val="4F02300A"/>
    <w:rsid w:val="4F0536FA"/>
    <w:rsid w:val="4F077F43"/>
    <w:rsid w:val="4F0C4236"/>
    <w:rsid w:val="4F0F3E16"/>
    <w:rsid w:val="4F0F7DBC"/>
    <w:rsid w:val="4F1003A1"/>
    <w:rsid w:val="4F12098A"/>
    <w:rsid w:val="4F13577D"/>
    <w:rsid w:val="4F1A0622"/>
    <w:rsid w:val="4F1E4099"/>
    <w:rsid w:val="4F1E74EE"/>
    <w:rsid w:val="4F1F07A5"/>
    <w:rsid w:val="4F222296"/>
    <w:rsid w:val="4F232152"/>
    <w:rsid w:val="4F247513"/>
    <w:rsid w:val="4F256656"/>
    <w:rsid w:val="4F256AC6"/>
    <w:rsid w:val="4F2F25C7"/>
    <w:rsid w:val="4F312150"/>
    <w:rsid w:val="4F333DDA"/>
    <w:rsid w:val="4F363754"/>
    <w:rsid w:val="4F394923"/>
    <w:rsid w:val="4F3B3972"/>
    <w:rsid w:val="4F3B5033"/>
    <w:rsid w:val="4F40472E"/>
    <w:rsid w:val="4F4078EF"/>
    <w:rsid w:val="4F4331DE"/>
    <w:rsid w:val="4F4373C1"/>
    <w:rsid w:val="4F442E00"/>
    <w:rsid w:val="4F465945"/>
    <w:rsid w:val="4F4B0DFD"/>
    <w:rsid w:val="4F4B1F01"/>
    <w:rsid w:val="4F4B3C13"/>
    <w:rsid w:val="4F4D5DDB"/>
    <w:rsid w:val="4F4D7D3A"/>
    <w:rsid w:val="4F515151"/>
    <w:rsid w:val="4F581713"/>
    <w:rsid w:val="4F5A2231"/>
    <w:rsid w:val="4F5D4209"/>
    <w:rsid w:val="4F636456"/>
    <w:rsid w:val="4F645321"/>
    <w:rsid w:val="4F67312A"/>
    <w:rsid w:val="4F7457B4"/>
    <w:rsid w:val="4F787187"/>
    <w:rsid w:val="4F7B78F2"/>
    <w:rsid w:val="4F7F2C82"/>
    <w:rsid w:val="4F874785"/>
    <w:rsid w:val="4F885556"/>
    <w:rsid w:val="4F8C1C07"/>
    <w:rsid w:val="4F8C6DE9"/>
    <w:rsid w:val="4F9077FD"/>
    <w:rsid w:val="4F941212"/>
    <w:rsid w:val="4F94645F"/>
    <w:rsid w:val="4F94709A"/>
    <w:rsid w:val="4F963213"/>
    <w:rsid w:val="4F970612"/>
    <w:rsid w:val="4F976963"/>
    <w:rsid w:val="4F9900E8"/>
    <w:rsid w:val="4F9E0B48"/>
    <w:rsid w:val="4FA057FA"/>
    <w:rsid w:val="4FA33F3F"/>
    <w:rsid w:val="4FA50BF5"/>
    <w:rsid w:val="4FA9162F"/>
    <w:rsid w:val="4FAC76EB"/>
    <w:rsid w:val="4FAE1C5C"/>
    <w:rsid w:val="4FB01AB9"/>
    <w:rsid w:val="4FB107D7"/>
    <w:rsid w:val="4FB25F80"/>
    <w:rsid w:val="4FB3429D"/>
    <w:rsid w:val="4FBA0D2B"/>
    <w:rsid w:val="4FBE36FE"/>
    <w:rsid w:val="4FBF63C5"/>
    <w:rsid w:val="4FC15DD9"/>
    <w:rsid w:val="4FC35E15"/>
    <w:rsid w:val="4FC6162D"/>
    <w:rsid w:val="4FC67EEA"/>
    <w:rsid w:val="4FCA225C"/>
    <w:rsid w:val="4FCA30F9"/>
    <w:rsid w:val="4FCD5F1C"/>
    <w:rsid w:val="4FCF59AE"/>
    <w:rsid w:val="4FD10960"/>
    <w:rsid w:val="4FD27897"/>
    <w:rsid w:val="4FD72D6F"/>
    <w:rsid w:val="4FD77297"/>
    <w:rsid w:val="4FDB0443"/>
    <w:rsid w:val="4FDB5688"/>
    <w:rsid w:val="4FDC67FA"/>
    <w:rsid w:val="4FE465F0"/>
    <w:rsid w:val="4FE47BFB"/>
    <w:rsid w:val="4FED181D"/>
    <w:rsid w:val="4FED1BB7"/>
    <w:rsid w:val="4FF100DC"/>
    <w:rsid w:val="4FF41CCB"/>
    <w:rsid w:val="4FF45C19"/>
    <w:rsid w:val="4FF565ED"/>
    <w:rsid w:val="4FF97445"/>
    <w:rsid w:val="4FFC052E"/>
    <w:rsid w:val="4FFC363D"/>
    <w:rsid w:val="4FFC718E"/>
    <w:rsid w:val="50027A32"/>
    <w:rsid w:val="50051B4C"/>
    <w:rsid w:val="50082EF5"/>
    <w:rsid w:val="500D60A8"/>
    <w:rsid w:val="50140F0E"/>
    <w:rsid w:val="50174394"/>
    <w:rsid w:val="501A0BBE"/>
    <w:rsid w:val="501A21E0"/>
    <w:rsid w:val="501B6B9C"/>
    <w:rsid w:val="501C2AC4"/>
    <w:rsid w:val="501C5951"/>
    <w:rsid w:val="501E1C31"/>
    <w:rsid w:val="5021442D"/>
    <w:rsid w:val="502226B7"/>
    <w:rsid w:val="5034215C"/>
    <w:rsid w:val="50344279"/>
    <w:rsid w:val="503A6544"/>
    <w:rsid w:val="503C53AC"/>
    <w:rsid w:val="503D4393"/>
    <w:rsid w:val="503D5057"/>
    <w:rsid w:val="504003EC"/>
    <w:rsid w:val="5046799C"/>
    <w:rsid w:val="504B0A65"/>
    <w:rsid w:val="504D1AAD"/>
    <w:rsid w:val="504E0E9E"/>
    <w:rsid w:val="504F5613"/>
    <w:rsid w:val="5050196C"/>
    <w:rsid w:val="50535CB7"/>
    <w:rsid w:val="505679EA"/>
    <w:rsid w:val="505A42A1"/>
    <w:rsid w:val="505B684C"/>
    <w:rsid w:val="50656BA3"/>
    <w:rsid w:val="506D3EC5"/>
    <w:rsid w:val="50715A85"/>
    <w:rsid w:val="50734618"/>
    <w:rsid w:val="5073496F"/>
    <w:rsid w:val="507D0723"/>
    <w:rsid w:val="50821FA8"/>
    <w:rsid w:val="50825850"/>
    <w:rsid w:val="5083437F"/>
    <w:rsid w:val="50892381"/>
    <w:rsid w:val="508E78AC"/>
    <w:rsid w:val="50950349"/>
    <w:rsid w:val="50984F82"/>
    <w:rsid w:val="509B0639"/>
    <w:rsid w:val="50A20EE3"/>
    <w:rsid w:val="50A37037"/>
    <w:rsid w:val="50AC70CB"/>
    <w:rsid w:val="50AD52AF"/>
    <w:rsid w:val="50B502A3"/>
    <w:rsid w:val="50B66209"/>
    <w:rsid w:val="50B91558"/>
    <w:rsid w:val="50BB34BB"/>
    <w:rsid w:val="50C6694B"/>
    <w:rsid w:val="50CB0040"/>
    <w:rsid w:val="50D35D16"/>
    <w:rsid w:val="50D433C9"/>
    <w:rsid w:val="50D444D1"/>
    <w:rsid w:val="50D61408"/>
    <w:rsid w:val="50D67365"/>
    <w:rsid w:val="50D85E25"/>
    <w:rsid w:val="50D93965"/>
    <w:rsid w:val="50D97ACF"/>
    <w:rsid w:val="50DE264E"/>
    <w:rsid w:val="50DE2C94"/>
    <w:rsid w:val="50DF0890"/>
    <w:rsid w:val="50E17898"/>
    <w:rsid w:val="50E4551D"/>
    <w:rsid w:val="50E56C08"/>
    <w:rsid w:val="50E90158"/>
    <w:rsid w:val="50EC29BF"/>
    <w:rsid w:val="50F26C11"/>
    <w:rsid w:val="50F67EBD"/>
    <w:rsid w:val="50F74AA2"/>
    <w:rsid w:val="50F7705F"/>
    <w:rsid w:val="51075A5B"/>
    <w:rsid w:val="510B3924"/>
    <w:rsid w:val="51105275"/>
    <w:rsid w:val="511462DE"/>
    <w:rsid w:val="511934F5"/>
    <w:rsid w:val="511A650A"/>
    <w:rsid w:val="511C173D"/>
    <w:rsid w:val="511D2BDD"/>
    <w:rsid w:val="511D39C8"/>
    <w:rsid w:val="51205F70"/>
    <w:rsid w:val="51211654"/>
    <w:rsid w:val="51233DE4"/>
    <w:rsid w:val="51235774"/>
    <w:rsid w:val="51250C75"/>
    <w:rsid w:val="5125275A"/>
    <w:rsid w:val="51281722"/>
    <w:rsid w:val="512951C3"/>
    <w:rsid w:val="51295D03"/>
    <w:rsid w:val="512A3D52"/>
    <w:rsid w:val="512F2FAD"/>
    <w:rsid w:val="51322FBA"/>
    <w:rsid w:val="51353C5E"/>
    <w:rsid w:val="51393A83"/>
    <w:rsid w:val="513B3DF9"/>
    <w:rsid w:val="513C658B"/>
    <w:rsid w:val="513F4B97"/>
    <w:rsid w:val="51401B57"/>
    <w:rsid w:val="51441568"/>
    <w:rsid w:val="5145236D"/>
    <w:rsid w:val="51480A97"/>
    <w:rsid w:val="514A03E9"/>
    <w:rsid w:val="514E3CC7"/>
    <w:rsid w:val="515278BC"/>
    <w:rsid w:val="515842D5"/>
    <w:rsid w:val="515934C1"/>
    <w:rsid w:val="51626D85"/>
    <w:rsid w:val="51627F0D"/>
    <w:rsid w:val="516E206D"/>
    <w:rsid w:val="51741E6C"/>
    <w:rsid w:val="51756972"/>
    <w:rsid w:val="517A63F0"/>
    <w:rsid w:val="517B7342"/>
    <w:rsid w:val="517E1E1F"/>
    <w:rsid w:val="51813564"/>
    <w:rsid w:val="51841E7F"/>
    <w:rsid w:val="51844B36"/>
    <w:rsid w:val="518A030E"/>
    <w:rsid w:val="518B1B6A"/>
    <w:rsid w:val="518B739B"/>
    <w:rsid w:val="518D6560"/>
    <w:rsid w:val="519152EA"/>
    <w:rsid w:val="519236ED"/>
    <w:rsid w:val="519410BA"/>
    <w:rsid w:val="519523A8"/>
    <w:rsid w:val="51965D8A"/>
    <w:rsid w:val="519E7457"/>
    <w:rsid w:val="519F1F6B"/>
    <w:rsid w:val="51A00807"/>
    <w:rsid w:val="51A05A23"/>
    <w:rsid w:val="51AB65B4"/>
    <w:rsid w:val="51AE2C65"/>
    <w:rsid w:val="51B11B29"/>
    <w:rsid w:val="51B43931"/>
    <w:rsid w:val="51B529B0"/>
    <w:rsid w:val="51BA76CA"/>
    <w:rsid w:val="51BC09C0"/>
    <w:rsid w:val="51BC2F4E"/>
    <w:rsid w:val="51BD7EC2"/>
    <w:rsid w:val="51C07BA0"/>
    <w:rsid w:val="51C44E72"/>
    <w:rsid w:val="51C65BC0"/>
    <w:rsid w:val="51C7106B"/>
    <w:rsid w:val="51CC7C75"/>
    <w:rsid w:val="51D34DB4"/>
    <w:rsid w:val="51D86915"/>
    <w:rsid w:val="51DA0FA7"/>
    <w:rsid w:val="51DE52CD"/>
    <w:rsid w:val="51DF7774"/>
    <w:rsid w:val="51E06710"/>
    <w:rsid w:val="51E33805"/>
    <w:rsid w:val="51EA6D87"/>
    <w:rsid w:val="51EB5F10"/>
    <w:rsid w:val="51EC7A89"/>
    <w:rsid w:val="51F870A7"/>
    <w:rsid w:val="51F950A0"/>
    <w:rsid w:val="51F967B6"/>
    <w:rsid w:val="52013C23"/>
    <w:rsid w:val="52022324"/>
    <w:rsid w:val="5205030D"/>
    <w:rsid w:val="52161438"/>
    <w:rsid w:val="5217605D"/>
    <w:rsid w:val="52180389"/>
    <w:rsid w:val="52190C24"/>
    <w:rsid w:val="52191347"/>
    <w:rsid w:val="521B4203"/>
    <w:rsid w:val="521C7D19"/>
    <w:rsid w:val="522638C7"/>
    <w:rsid w:val="5228188A"/>
    <w:rsid w:val="522A6770"/>
    <w:rsid w:val="522B75AE"/>
    <w:rsid w:val="522F191C"/>
    <w:rsid w:val="52325864"/>
    <w:rsid w:val="523302ED"/>
    <w:rsid w:val="52363194"/>
    <w:rsid w:val="52365463"/>
    <w:rsid w:val="52377A47"/>
    <w:rsid w:val="52460689"/>
    <w:rsid w:val="5247336B"/>
    <w:rsid w:val="52476405"/>
    <w:rsid w:val="524A5C68"/>
    <w:rsid w:val="524C724D"/>
    <w:rsid w:val="52532968"/>
    <w:rsid w:val="525401C2"/>
    <w:rsid w:val="52546140"/>
    <w:rsid w:val="52572361"/>
    <w:rsid w:val="525D3774"/>
    <w:rsid w:val="525F3DCF"/>
    <w:rsid w:val="525F53B1"/>
    <w:rsid w:val="526913E6"/>
    <w:rsid w:val="52734368"/>
    <w:rsid w:val="52836832"/>
    <w:rsid w:val="52843C38"/>
    <w:rsid w:val="52847FDA"/>
    <w:rsid w:val="528B7F58"/>
    <w:rsid w:val="528D6C4E"/>
    <w:rsid w:val="52983F10"/>
    <w:rsid w:val="52985187"/>
    <w:rsid w:val="529A7E86"/>
    <w:rsid w:val="529F3A66"/>
    <w:rsid w:val="52A41CB2"/>
    <w:rsid w:val="52AD335C"/>
    <w:rsid w:val="52AD4907"/>
    <w:rsid w:val="52AE7568"/>
    <w:rsid w:val="52B35288"/>
    <w:rsid w:val="52B378D5"/>
    <w:rsid w:val="52B63DBD"/>
    <w:rsid w:val="52B916BC"/>
    <w:rsid w:val="52BF41DD"/>
    <w:rsid w:val="52C055FA"/>
    <w:rsid w:val="52C92015"/>
    <w:rsid w:val="52CB74EB"/>
    <w:rsid w:val="52CC7AB7"/>
    <w:rsid w:val="52CD24D8"/>
    <w:rsid w:val="52CE6819"/>
    <w:rsid w:val="52CF576A"/>
    <w:rsid w:val="52D02BD7"/>
    <w:rsid w:val="52DA3F13"/>
    <w:rsid w:val="52DB6A07"/>
    <w:rsid w:val="52DB767E"/>
    <w:rsid w:val="52DD7BDD"/>
    <w:rsid w:val="52E3462C"/>
    <w:rsid w:val="52E838BE"/>
    <w:rsid w:val="52EE06BE"/>
    <w:rsid w:val="52F42816"/>
    <w:rsid w:val="52F965B2"/>
    <w:rsid w:val="52FB5446"/>
    <w:rsid w:val="52FE47A9"/>
    <w:rsid w:val="5305168A"/>
    <w:rsid w:val="53063DBD"/>
    <w:rsid w:val="530A4B3F"/>
    <w:rsid w:val="530A7885"/>
    <w:rsid w:val="53172A50"/>
    <w:rsid w:val="531A397A"/>
    <w:rsid w:val="531A546B"/>
    <w:rsid w:val="531B0D04"/>
    <w:rsid w:val="531C1B2E"/>
    <w:rsid w:val="532225EA"/>
    <w:rsid w:val="532274CE"/>
    <w:rsid w:val="53240747"/>
    <w:rsid w:val="532522FD"/>
    <w:rsid w:val="53275C7D"/>
    <w:rsid w:val="53293900"/>
    <w:rsid w:val="532D3BA5"/>
    <w:rsid w:val="53311BF2"/>
    <w:rsid w:val="53367038"/>
    <w:rsid w:val="534531B7"/>
    <w:rsid w:val="53456AB3"/>
    <w:rsid w:val="534718C6"/>
    <w:rsid w:val="53496F02"/>
    <w:rsid w:val="534D106F"/>
    <w:rsid w:val="534F4759"/>
    <w:rsid w:val="535136AE"/>
    <w:rsid w:val="535438C1"/>
    <w:rsid w:val="53553694"/>
    <w:rsid w:val="535B4844"/>
    <w:rsid w:val="536207CB"/>
    <w:rsid w:val="53624B78"/>
    <w:rsid w:val="53654541"/>
    <w:rsid w:val="53686443"/>
    <w:rsid w:val="53696FFA"/>
    <w:rsid w:val="536A4814"/>
    <w:rsid w:val="536C6848"/>
    <w:rsid w:val="536D1FA0"/>
    <w:rsid w:val="536E38B7"/>
    <w:rsid w:val="53703E13"/>
    <w:rsid w:val="53724D70"/>
    <w:rsid w:val="53752D57"/>
    <w:rsid w:val="53772DC7"/>
    <w:rsid w:val="537920B8"/>
    <w:rsid w:val="53795F74"/>
    <w:rsid w:val="537A7993"/>
    <w:rsid w:val="537E6A3D"/>
    <w:rsid w:val="537F5E0C"/>
    <w:rsid w:val="537F6AF5"/>
    <w:rsid w:val="5381746B"/>
    <w:rsid w:val="538459BE"/>
    <w:rsid w:val="53893051"/>
    <w:rsid w:val="538E4601"/>
    <w:rsid w:val="53916407"/>
    <w:rsid w:val="539263A1"/>
    <w:rsid w:val="53930D1A"/>
    <w:rsid w:val="5397293F"/>
    <w:rsid w:val="539B4140"/>
    <w:rsid w:val="53A065E4"/>
    <w:rsid w:val="53A1457E"/>
    <w:rsid w:val="53A14C76"/>
    <w:rsid w:val="53A7772A"/>
    <w:rsid w:val="53AA0AE0"/>
    <w:rsid w:val="53B151E7"/>
    <w:rsid w:val="53B5455A"/>
    <w:rsid w:val="53B61D27"/>
    <w:rsid w:val="53BB16B1"/>
    <w:rsid w:val="53BB4E26"/>
    <w:rsid w:val="53BF3327"/>
    <w:rsid w:val="53C16134"/>
    <w:rsid w:val="53C370E1"/>
    <w:rsid w:val="53C40A8B"/>
    <w:rsid w:val="53C457C1"/>
    <w:rsid w:val="53CA5F75"/>
    <w:rsid w:val="53CC1775"/>
    <w:rsid w:val="53CD21A2"/>
    <w:rsid w:val="53CF2A16"/>
    <w:rsid w:val="53D221BC"/>
    <w:rsid w:val="53D260C2"/>
    <w:rsid w:val="53D31BF0"/>
    <w:rsid w:val="53D547DC"/>
    <w:rsid w:val="53D81052"/>
    <w:rsid w:val="53DA4787"/>
    <w:rsid w:val="53DC05C0"/>
    <w:rsid w:val="53E033AC"/>
    <w:rsid w:val="53E30BD2"/>
    <w:rsid w:val="53E96863"/>
    <w:rsid w:val="53EC6CC0"/>
    <w:rsid w:val="53ED6649"/>
    <w:rsid w:val="53EE7A96"/>
    <w:rsid w:val="53F766D2"/>
    <w:rsid w:val="53F972C7"/>
    <w:rsid w:val="53FC6CB5"/>
    <w:rsid w:val="53FF07F2"/>
    <w:rsid w:val="53FF15B3"/>
    <w:rsid w:val="540053E9"/>
    <w:rsid w:val="54022730"/>
    <w:rsid w:val="54034A06"/>
    <w:rsid w:val="54047327"/>
    <w:rsid w:val="540C7023"/>
    <w:rsid w:val="540D2BC1"/>
    <w:rsid w:val="541510B4"/>
    <w:rsid w:val="541511E9"/>
    <w:rsid w:val="54161786"/>
    <w:rsid w:val="541777A3"/>
    <w:rsid w:val="541A6486"/>
    <w:rsid w:val="541B31F9"/>
    <w:rsid w:val="541C194E"/>
    <w:rsid w:val="54247E64"/>
    <w:rsid w:val="54287B8E"/>
    <w:rsid w:val="542919B1"/>
    <w:rsid w:val="542D6B57"/>
    <w:rsid w:val="543273D1"/>
    <w:rsid w:val="54332FCB"/>
    <w:rsid w:val="54362EE9"/>
    <w:rsid w:val="54372B10"/>
    <w:rsid w:val="543978AE"/>
    <w:rsid w:val="543C5229"/>
    <w:rsid w:val="54406295"/>
    <w:rsid w:val="54412BF0"/>
    <w:rsid w:val="54412D02"/>
    <w:rsid w:val="54422EDA"/>
    <w:rsid w:val="544417C9"/>
    <w:rsid w:val="54475EA1"/>
    <w:rsid w:val="54514458"/>
    <w:rsid w:val="54564266"/>
    <w:rsid w:val="545B1FA2"/>
    <w:rsid w:val="545C2441"/>
    <w:rsid w:val="545F158C"/>
    <w:rsid w:val="5460480E"/>
    <w:rsid w:val="54682008"/>
    <w:rsid w:val="546A78D3"/>
    <w:rsid w:val="546C3784"/>
    <w:rsid w:val="54754A6A"/>
    <w:rsid w:val="54763D33"/>
    <w:rsid w:val="54767E31"/>
    <w:rsid w:val="54781903"/>
    <w:rsid w:val="547F2B1F"/>
    <w:rsid w:val="54873CA0"/>
    <w:rsid w:val="54874A52"/>
    <w:rsid w:val="548A1E4E"/>
    <w:rsid w:val="548C32AB"/>
    <w:rsid w:val="548D2275"/>
    <w:rsid w:val="548D289E"/>
    <w:rsid w:val="54910BA4"/>
    <w:rsid w:val="549A0616"/>
    <w:rsid w:val="549B144B"/>
    <w:rsid w:val="549B20E6"/>
    <w:rsid w:val="549E4DCB"/>
    <w:rsid w:val="54A60315"/>
    <w:rsid w:val="54AE07B7"/>
    <w:rsid w:val="54B86248"/>
    <w:rsid w:val="54BB1089"/>
    <w:rsid w:val="54C24B82"/>
    <w:rsid w:val="54C50B9C"/>
    <w:rsid w:val="54C6714A"/>
    <w:rsid w:val="54C76ED6"/>
    <w:rsid w:val="54CA3C93"/>
    <w:rsid w:val="54CD0707"/>
    <w:rsid w:val="54D00FCE"/>
    <w:rsid w:val="54D06EFF"/>
    <w:rsid w:val="54D131E7"/>
    <w:rsid w:val="54D43A08"/>
    <w:rsid w:val="54D51870"/>
    <w:rsid w:val="54D929BD"/>
    <w:rsid w:val="54DA6B6A"/>
    <w:rsid w:val="54DF40D5"/>
    <w:rsid w:val="54E06C11"/>
    <w:rsid w:val="54E17CA8"/>
    <w:rsid w:val="54E21F4F"/>
    <w:rsid w:val="54E22A7D"/>
    <w:rsid w:val="54E57F3E"/>
    <w:rsid w:val="54E74D81"/>
    <w:rsid w:val="54E925A9"/>
    <w:rsid w:val="54E95BA4"/>
    <w:rsid w:val="54FA25E8"/>
    <w:rsid w:val="55136B1B"/>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A0A"/>
    <w:rsid w:val="55327DE8"/>
    <w:rsid w:val="55353746"/>
    <w:rsid w:val="5536380F"/>
    <w:rsid w:val="55375174"/>
    <w:rsid w:val="55396816"/>
    <w:rsid w:val="553A166A"/>
    <w:rsid w:val="553D4D07"/>
    <w:rsid w:val="55405A2E"/>
    <w:rsid w:val="554416F7"/>
    <w:rsid w:val="55463AF4"/>
    <w:rsid w:val="554A7882"/>
    <w:rsid w:val="554D7803"/>
    <w:rsid w:val="55516532"/>
    <w:rsid w:val="55540941"/>
    <w:rsid w:val="555846D7"/>
    <w:rsid w:val="55594E86"/>
    <w:rsid w:val="555A05B0"/>
    <w:rsid w:val="555B1111"/>
    <w:rsid w:val="555B2944"/>
    <w:rsid w:val="55614B24"/>
    <w:rsid w:val="55616A4F"/>
    <w:rsid w:val="5565285E"/>
    <w:rsid w:val="55694AF9"/>
    <w:rsid w:val="556C1631"/>
    <w:rsid w:val="556F7E62"/>
    <w:rsid w:val="556F7F43"/>
    <w:rsid w:val="5576748A"/>
    <w:rsid w:val="55784732"/>
    <w:rsid w:val="55792861"/>
    <w:rsid w:val="55796E3E"/>
    <w:rsid w:val="557C6EDF"/>
    <w:rsid w:val="557E71FE"/>
    <w:rsid w:val="5584057B"/>
    <w:rsid w:val="558D5021"/>
    <w:rsid w:val="558F35A7"/>
    <w:rsid w:val="55927D1F"/>
    <w:rsid w:val="55985654"/>
    <w:rsid w:val="559A4FD6"/>
    <w:rsid w:val="559A5BFB"/>
    <w:rsid w:val="55A35F7F"/>
    <w:rsid w:val="55A83C17"/>
    <w:rsid w:val="55A86FBD"/>
    <w:rsid w:val="55B353EE"/>
    <w:rsid w:val="55B85ACE"/>
    <w:rsid w:val="55B952E9"/>
    <w:rsid w:val="55BE6A5B"/>
    <w:rsid w:val="55C07A6A"/>
    <w:rsid w:val="55C2581B"/>
    <w:rsid w:val="55C265C4"/>
    <w:rsid w:val="55C60B6B"/>
    <w:rsid w:val="55C75432"/>
    <w:rsid w:val="55C80FED"/>
    <w:rsid w:val="55C9465C"/>
    <w:rsid w:val="55C94D7A"/>
    <w:rsid w:val="55D025DF"/>
    <w:rsid w:val="55D0561A"/>
    <w:rsid w:val="55D05776"/>
    <w:rsid w:val="55D37AAE"/>
    <w:rsid w:val="55D6364E"/>
    <w:rsid w:val="55D63A47"/>
    <w:rsid w:val="55D66E21"/>
    <w:rsid w:val="55DD1695"/>
    <w:rsid w:val="55DD29FE"/>
    <w:rsid w:val="55E278DA"/>
    <w:rsid w:val="55E77B0B"/>
    <w:rsid w:val="55EE3558"/>
    <w:rsid w:val="55F34504"/>
    <w:rsid w:val="55F37805"/>
    <w:rsid w:val="55F75CA6"/>
    <w:rsid w:val="55F8394B"/>
    <w:rsid w:val="55F84691"/>
    <w:rsid w:val="55FC0227"/>
    <w:rsid w:val="55FC1DF1"/>
    <w:rsid w:val="55FD5512"/>
    <w:rsid w:val="55FD6C2D"/>
    <w:rsid w:val="55FE7359"/>
    <w:rsid w:val="56012FC1"/>
    <w:rsid w:val="5602472C"/>
    <w:rsid w:val="560B1611"/>
    <w:rsid w:val="5611754A"/>
    <w:rsid w:val="56195327"/>
    <w:rsid w:val="561978EB"/>
    <w:rsid w:val="561D0938"/>
    <w:rsid w:val="5622121F"/>
    <w:rsid w:val="562241FB"/>
    <w:rsid w:val="56254844"/>
    <w:rsid w:val="562C01AC"/>
    <w:rsid w:val="562C48A4"/>
    <w:rsid w:val="562E289A"/>
    <w:rsid w:val="56316AE5"/>
    <w:rsid w:val="5632588F"/>
    <w:rsid w:val="5635337A"/>
    <w:rsid w:val="5639222C"/>
    <w:rsid w:val="563B1048"/>
    <w:rsid w:val="563B6B45"/>
    <w:rsid w:val="564040D3"/>
    <w:rsid w:val="564956BB"/>
    <w:rsid w:val="5649734E"/>
    <w:rsid w:val="564E3688"/>
    <w:rsid w:val="56514294"/>
    <w:rsid w:val="5654476A"/>
    <w:rsid w:val="565716EB"/>
    <w:rsid w:val="565767DB"/>
    <w:rsid w:val="56581695"/>
    <w:rsid w:val="566355DD"/>
    <w:rsid w:val="5665198B"/>
    <w:rsid w:val="56662DA4"/>
    <w:rsid w:val="56680BC9"/>
    <w:rsid w:val="566926ED"/>
    <w:rsid w:val="567043C4"/>
    <w:rsid w:val="56710EA4"/>
    <w:rsid w:val="567119B3"/>
    <w:rsid w:val="56712DE1"/>
    <w:rsid w:val="56727839"/>
    <w:rsid w:val="567F4D05"/>
    <w:rsid w:val="56801A4D"/>
    <w:rsid w:val="568250EA"/>
    <w:rsid w:val="56855A57"/>
    <w:rsid w:val="568A756D"/>
    <w:rsid w:val="568F339B"/>
    <w:rsid w:val="568F72CF"/>
    <w:rsid w:val="56930F2C"/>
    <w:rsid w:val="56932515"/>
    <w:rsid w:val="56943F7F"/>
    <w:rsid w:val="56975B2C"/>
    <w:rsid w:val="56975DFF"/>
    <w:rsid w:val="569C7055"/>
    <w:rsid w:val="569D0F61"/>
    <w:rsid w:val="569D2690"/>
    <w:rsid w:val="56A110CA"/>
    <w:rsid w:val="56A64E42"/>
    <w:rsid w:val="56A84128"/>
    <w:rsid w:val="56AC31BC"/>
    <w:rsid w:val="56AD1468"/>
    <w:rsid w:val="56B20B45"/>
    <w:rsid w:val="56B2689B"/>
    <w:rsid w:val="56B635AB"/>
    <w:rsid w:val="56B87954"/>
    <w:rsid w:val="56BA59A8"/>
    <w:rsid w:val="56BB18CA"/>
    <w:rsid w:val="56BE22AD"/>
    <w:rsid w:val="56BF1F76"/>
    <w:rsid w:val="56C0283E"/>
    <w:rsid w:val="56C05533"/>
    <w:rsid w:val="56C61BEC"/>
    <w:rsid w:val="56D418EA"/>
    <w:rsid w:val="56D43345"/>
    <w:rsid w:val="56D570ED"/>
    <w:rsid w:val="56E358E7"/>
    <w:rsid w:val="56E365E9"/>
    <w:rsid w:val="56E73DD6"/>
    <w:rsid w:val="56EA585F"/>
    <w:rsid w:val="56EB338E"/>
    <w:rsid w:val="56EB4412"/>
    <w:rsid w:val="56F24EA1"/>
    <w:rsid w:val="56F418BC"/>
    <w:rsid w:val="56F9705F"/>
    <w:rsid w:val="57005E0B"/>
    <w:rsid w:val="5702176B"/>
    <w:rsid w:val="57024A7F"/>
    <w:rsid w:val="57095AA8"/>
    <w:rsid w:val="570C2BE8"/>
    <w:rsid w:val="570D00B1"/>
    <w:rsid w:val="571203B4"/>
    <w:rsid w:val="571369AE"/>
    <w:rsid w:val="57212288"/>
    <w:rsid w:val="57236AD8"/>
    <w:rsid w:val="57273EC6"/>
    <w:rsid w:val="572E3DC7"/>
    <w:rsid w:val="57320543"/>
    <w:rsid w:val="57356E87"/>
    <w:rsid w:val="573A01AE"/>
    <w:rsid w:val="573A1BD7"/>
    <w:rsid w:val="573C2BF5"/>
    <w:rsid w:val="573C2D65"/>
    <w:rsid w:val="573D0DE5"/>
    <w:rsid w:val="57405EA8"/>
    <w:rsid w:val="57466BB3"/>
    <w:rsid w:val="57483C2C"/>
    <w:rsid w:val="574940F5"/>
    <w:rsid w:val="575163DC"/>
    <w:rsid w:val="57564B03"/>
    <w:rsid w:val="57570D48"/>
    <w:rsid w:val="57570EC4"/>
    <w:rsid w:val="57576764"/>
    <w:rsid w:val="57592024"/>
    <w:rsid w:val="57592D20"/>
    <w:rsid w:val="575D1406"/>
    <w:rsid w:val="575D7DC0"/>
    <w:rsid w:val="575F724B"/>
    <w:rsid w:val="57646E8D"/>
    <w:rsid w:val="57647D03"/>
    <w:rsid w:val="57663149"/>
    <w:rsid w:val="576631A4"/>
    <w:rsid w:val="576A30DA"/>
    <w:rsid w:val="576E2006"/>
    <w:rsid w:val="576E7D00"/>
    <w:rsid w:val="57714C0A"/>
    <w:rsid w:val="57723BA0"/>
    <w:rsid w:val="57725A92"/>
    <w:rsid w:val="577269D1"/>
    <w:rsid w:val="57784EBE"/>
    <w:rsid w:val="577C7F69"/>
    <w:rsid w:val="577D2D1B"/>
    <w:rsid w:val="578474C5"/>
    <w:rsid w:val="578474D7"/>
    <w:rsid w:val="57883154"/>
    <w:rsid w:val="578F659F"/>
    <w:rsid w:val="57904A51"/>
    <w:rsid w:val="57910A21"/>
    <w:rsid w:val="57914F06"/>
    <w:rsid w:val="57927A38"/>
    <w:rsid w:val="579402F1"/>
    <w:rsid w:val="57945000"/>
    <w:rsid w:val="5795251B"/>
    <w:rsid w:val="579677D0"/>
    <w:rsid w:val="57984454"/>
    <w:rsid w:val="579A7213"/>
    <w:rsid w:val="579C47BB"/>
    <w:rsid w:val="579D6CE4"/>
    <w:rsid w:val="579F608F"/>
    <w:rsid w:val="57A02049"/>
    <w:rsid w:val="57A14D1F"/>
    <w:rsid w:val="57A83EEE"/>
    <w:rsid w:val="57A91D3B"/>
    <w:rsid w:val="57AD63CA"/>
    <w:rsid w:val="57B12D5D"/>
    <w:rsid w:val="57B55AA5"/>
    <w:rsid w:val="57BF4BA2"/>
    <w:rsid w:val="57C0641D"/>
    <w:rsid w:val="57C302C5"/>
    <w:rsid w:val="57C648C9"/>
    <w:rsid w:val="57C931DC"/>
    <w:rsid w:val="57D20BE2"/>
    <w:rsid w:val="57D35A44"/>
    <w:rsid w:val="57D4431C"/>
    <w:rsid w:val="57D45D9A"/>
    <w:rsid w:val="57D5434D"/>
    <w:rsid w:val="57DC551A"/>
    <w:rsid w:val="57E36625"/>
    <w:rsid w:val="57E869F5"/>
    <w:rsid w:val="57ED1E8C"/>
    <w:rsid w:val="57F04C43"/>
    <w:rsid w:val="57F4119B"/>
    <w:rsid w:val="57F63127"/>
    <w:rsid w:val="57F776EC"/>
    <w:rsid w:val="57F85B18"/>
    <w:rsid w:val="57FA183A"/>
    <w:rsid w:val="57FB2066"/>
    <w:rsid w:val="57FE3336"/>
    <w:rsid w:val="580014A4"/>
    <w:rsid w:val="58032998"/>
    <w:rsid w:val="58087908"/>
    <w:rsid w:val="5809397E"/>
    <w:rsid w:val="580B30A9"/>
    <w:rsid w:val="580E43B2"/>
    <w:rsid w:val="58127039"/>
    <w:rsid w:val="58171D79"/>
    <w:rsid w:val="581C076D"/>
    <w:rsid w:val="581C6787"/>
    <w:rsid w:val="582073DC"/>
    <w:rsid w:val="582258D4"/>
    <w:rsid w:val="582526C4"/>
    <w:rsid w:val="5828152C"/>
    <w:rsid w:val="58282A54"/>
    <w:rsid w:val="58284F87"/>
    <w:rsid w:val="582B7E8D"/>
    <w:rsid w:val="58351ED2"/>
    <w:rsid w:val="58397B39"/>
    <w:rsid w:val="583E42FC"/>
    <w:rsid w:val="58407313"/>
    <w:rsid w:val="58423505"/>
    <w:rsid w:val="58463E71"/>
    <w:rsid w:val="5848285C"/>
    <w:rsid w:val="584A0C32"/>
    <w:rsid w:val="585352BC"/>
    <w:rsid w:val="585501BC"/>
    <w:rsid w:val="58550B07"/>
    <w:rsid w:val="58577099"/>
    <w:rsid w:val="58586901"/>
    <w:rsid w:val="586250A0"/>
    <w:rsid w:val="58650C5B"/>
    <w:rsid w:val="5868260B"/>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01F0"/>
    <w:rsid w:val="58A011FE"/>
    <w:rsid w:val="58A14EB1"/>
    <w:rsid w:val="58A1709A"/>
    <w:rsid w:val="58A7270C"/>
    <w:rsid w:val="58AB17F1"/>
    <w:rsid w:val="58AE6214"/>
    <w:rsid w:val="58AE6379"/>
    <w:rsid w:val="58B03B1D"/>
    <w:rsid w:val="58B15082"/>
    <w:rsid w:val="58B35066"/>
    <w:rsid w:val="58B74DA2"/>
    <w:rsid w:val="58BC532E"/>
    <w:rsid w:val="58BC78F5"/>
    <w:rsid w:val="58C36078"/>
    <w:rsid w:val="58C45FE0"/>
    <w:rsid w:val="58C4649C"/>
    <w:rsid w:val="58C67760"/>
    <w:rsid w:val="58C72F25"/>
    <w:rsid w:val="58C85514"/>
    <w:rsid w:val="58C87F34"/>
    <w:rsid w:val="58CA0114"/>
    <w:rsid w:val="58CA5531"/>
    <w:rsid w:val="58CB0FB1"/>
    <w:rsid w:val="58CC2FBC"/>
    <w:rsid w:val="58CD10D0"/>
    <w:rsid w:val="58CD5D4C"/>
    <w:rsid w:val="58CE073A"/>
    <w:rsid w:val="58D24A87"/>
    <w:rsid w:val="58D25899"/>
    <w:rsid w:val="58D40B43"/>
    <w:rsid w:val="58D96A4C"/>
    <w:rsid w:val="58DB5028"/>
    <w:rsid w:val="58DE171B"/>
    <w:rsid w:val="58E4350D"/>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0F3999"/>
    <w:rsid w:val="59110DE1"/>
    <w:rsid w:val="59141A1C"/>
    <w:rsid w:val="5914243C"/>
    <w:rsid w:val="591531CC"/>
    <w:rsid w:val="59155C2B"/>
    <w:rsid w:val="59167FCE"/>
    <w:rsid w:val="591914BD"/>
    <w:rsid w:val="591918E5"/>
    <w:rsid w:val="5919231D"/>
    <w:rsid w:val="591B200C"/>
    <w:rsid w:val="591D26B7"/>
    <w:rsid w:val="592171CD"/>
    <w:rsid w:val="592A4996"/>
    <w:rsid w:val="592A53F3"/>
    <w:rsid w:val="592A64DD"/>
    <w:rsid w:val="59367499"/>
    <w:rsid w:val="593712A6"/>
    <w:rsid w:val="59376AEA"/>
    <w:rsid w:val="59384413"/>
    <w:rsid w:val="59391116"/>
    <w:rsid w:val="593A5D4C"/>
    <w:rsid w:val="593B5476"/>
    <w:rsid w:val="593C155F"/>
    <w:rsid w:val="593E5CCE"/>
    <w:rsid w:val="594065A5"/>
    <w:rsid w:val="59407EC1"/>
    <w:rsid w:val="59433527"/>
    <w:rsid w:val="59451BF5"/>
    <w:rsid w:val="59494275"/>
    <w:rsid w:val="595504CA"/>
    <w:rsid w:val="595719C7"/>
    <w:rsid w:val="595D7276"/>
    <w:rsid w:val="59607CB3"/>
    <w:rsid w:val="59643A9B"/>
    <w:rsid w:val="59650358"/>
    <w:rsid w:val="59674983"/>
    <w:rsid w:val="596919E9"/>
    <w:rsid w:val="59695EEC"/>
    <w:rsid w:val="596C3303"/>
    <w:rsid w:val="596D487C"/>
    <w:rsid w:val="596F365B"/>
    <w:rsid w:val="59712E2D"/>
    <w:rsid w:val="597556DD"/>
    <w:rsid w:val="597A22E5"/>
    <w:rsid w:val="597A6EA9"/>
    <w:rsid w:val="597A7168"/>
    <w:rsid w:val="597C71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629CD"/>
    <w:rsid w:val="59965F9B"/>
    <w:rsid w:val="599B3B07"/>
    <w:rsid w:val="599D3278"/>
    <w:rsid w:val="59A50760"/>
    <w:rsid w:val="59A50B4A"/>
    <w:rsid w:val="59A86BB6"/>
    <w:rsid w:val="59B0657C"/>
    <w:rsid w:val="59B37F17"/>
    <w:rsid w:val="59B52188"/>
    <w:rsid w:val="59B63DB2"/>
    <w:rsid w:val="59BA6C73"/>
    <w:rsid w:val="59BA7984"/>
    <w:rsid w:val="59BC3C55"/>
    <w:rsid w:val="59BD19E8"/>
    <w:rsid w:val="59BE61C8"/>
    <w:rsid w:val="59BF6A16"/>
    <w:rsid w:val="59BF7E9B"/>
    <w:rsid w:val="59C03269"/>
    <w:rsid w:val="59C47DE4"/>
    <w:rsid w:val="59C51D50"/>
    <w:rsid w:val="59C84F6E"/>
    <w:rsid w:val="59C86C27"/>
    <w:rsid w:val="59C9606D"/>
    <w:rsid w:val="59D042FF"/>
    <w:rsid w:val="59D04A11"/>
    <w:rsid w:val="59D22BC5"/>
    <w:rsid w:val="59D25188"/>
    <w:rsid w:val="59D34A0F"/>
    <w:rsid w:val="59D707C8"/>
    <w:rsid w:val="59DE47E2"/>
    <w:rsid w:val="59E13121"/>
    <w:rsid w:val="59E14B31"/>
    <w:rsid w:val="59E26149"/>
    <w:rsid w:val="59E41473"/>
    <w:rsid w:val="59E54932"/>
    <w:rsid w:val="59F006CB"/>
    <w:rsid w:val="59F0404C"/>
    <w:rsid w:val="59F141F6"/>
    <w:rsid w:val="59F6041F"/>
    <w:rsid w:val="59FF3986"/>
    <w:rsid w:val="59FF713F"/>
    <w:rsid w:val="5A035174"/>
    <w:rsid w:val="5A061239"/>
    <w:rsid w:val="5A09550A"/>
    <w:rsid w:val="5A16478D"/>
    <w:rsid w:val="5A181C1F"/>
    <w:rsid w:val="5A1867FB"/>
    <w:rsid w:val="5A1B55E1"/>
    <w:rsid w:val="5A1D7220"/>
    <w:rsid w:val="5A265B9B"/>
    <w:rsid w:val="5A2718A2"/>
    <w:rsid w:val="5A27262D"/>
    <w:rsid w:val="5A2F2E3C"/>
    <w:rsid w:val="5A30747B"/>
    <w:rsid w:val="5A307F24"/>
    <w:rsid w:val="5A321BC1"/>
    <w:rsid w:val="5A3559F8"/>
    <w:rsid w:val="5A395E8E"/>
    <w:rsid w:val="5A3F48E3"/>
    <w:rsid w:val="5A423A2B"/>
    <w:rsid w:val="5A441EE2"/>
    <w:rsid w:val="5A464D3F"/>
    <w:rsid w:val="5A465251"/>
    <w:rsid w:val="5A471562"/>
    <w:rsid w:val="5A474346"/>
    <w:rsid w:val="5A484453"/>
    <w:rsid w:val="5A4957FA"/>
    <w:rsid w:val="5A4A75AD"/>
    <w:rsid w:val="5A5128B7"/>
    <w:rsid w:val="5A5B778A"/>
    <w:rsid w:val="5A5F4262"/>
    <w:rsid w:val="5A622269"/>
    <w:rsid w:val="5A6303E5"/>
    <w:rsid w:val="5A651F3A"/>
    <w:rsid w:val="5A6A58A1"/>
    <w:rsid w:val="5A6C627E"/>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B7486"/>
    <w:rsid w:val="5A9D5626"/>
    <w:rsid w:val="5A9E6A90"/>
    <w:rsid w:val="5AA35D81"/>
    <w:rsid w:val="5AA77EBD"/>
    <w:rsid w:val="5AAB3608"/>
    <w:rsid w:val="5AAD115C"/>
    <w:rsid w:val="5AB143A8"/>
    <w:rsid w:val="5AB362B7"/>
    <w:rsid w:val="5AB4247B"/>
    <w:rsid w:val="5AB55C9B"/>
    <w:rsid w:val="5AB929C4"/>
    <w:rsid w:val="5ABE2DB3"/>
    <w:rsid w:val="5AC11D57"/>
    <w:rsid w:val="5AC4568B"/>
    <w:rsid w:val="5AC465B0"/>
    <w:rsid w:val="5AC47036"/>
    <w:rsid w:val="5AC84105"/>
    <w:rsid w:val="5AC904BB"/>
    <w:rsid w:val="5AC9126A"/>
    <w:rsid w:val="5ACB4402"/>
    <w:rsid w:val="5ACD5F94"/>
    <w:rsid w:val="5ACE7371"/>
    <w:rsid w:val="5ACF56C2"/>
    <w:rsid w:val="5AD140B1"/>
    <w:rsid w:val="5AD344D4"/>
    <w:rsid w:val="5AD5118C"/>
    <w:rsid w:val="5AD8352B"/>
    <w:rsid w:val="5AD94051"/>
    <w:rsid w:val="5ADB66A2"/>
    <w:rsid w:val="5ADC54ED"/>
    <w:rsid w:val="5ADE0A09"/>
    <w:rsid w:val="5AE627DD"/>
    <w:rsid w:val="5AE64CB5"/>
    <w:rsid w:val="5AE65AC1"/>
    <w:rsid w:val="5AE86727"/>
    <w:rsid w:val="5AED60B1"/>
    <w:rsid w:val="5AF10757"/>
    <w:rsid w:val="5AF50846"/>
    <w:rsid w:val="5AF70F88"/>
    <w:rsid w:val="5AF90F95"/>
    <w:rsid w:val="5AFE4E4F"/>
    <w:rsid w:val="5AFF4230"/>
    <w:rsid w:val="5B001867"/>
    <w:rsid w:val="5B027F64"/>
    <w:rsid w:val="5B043ACD"/>
    <w:rsid w:val="5B0D44D7"/>
    <w:rsid w:val="5B150771"/>
    <w:rsid w:val="5B160FD4"/>
    <w:rsid w:val="5B1641FE"/>
    <w:rsid w:val="5B1A00B4"/>
    <w:rsid w:val="5B1D0B7B"/>
    <w:rsid w:val="5B1D556F"/>
    <w:rsid w:val="5B1D7A0B"/>
    <w:rsid w:val="5B1F372F"/>
    <w:rsid w:val="5B204147"/>
    <w:rsid w:val="5B23145A"/>
    <w:rsid w:val="5B233DB9"/>
    <w:rsid w:val="5B250051"/>
    <w:rsid w:val="5B293FE4"/>
    <w:rsid w:val="5B3079B1"/>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21C06"/>
    <w:rsid w:val="5B663AED"/>
    <w:rsid w:val="5B67361B"/>
    <w:rsid w:val="5B673929"/>
    <w:rsid w:val="5B680E8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3FE8"/>
    <w:rsid w:val="5B923338"/>
    <w:rsid w:val="5B931939"/>
    <w:rsid w:val="5B941286"/>
    <w:rsid w:val="5B96388B"/>
    <w:rsid w:val="5B9A22EA"/>
    <w:rsid w:val="5B9C7EC8"/>
    <w:rsid w:val="5B9D515A"/>
    <w:rsid w:val="5B9E66F6"/>
    <w:rsid w:val="5BA21FBD"/>
    <w:rsid w:val="5BAE17A2"/>
    <w:rsid w:val="5BAF0D57"/>
    <w:rsid w:val="5BB031EB"/>
    <w:rsid w:val="5BB1494B"/>
    <w:rsid w:val="5BB667F9"/>
    <w:rsid w:val="5BBC3894"/>
    <w:rsid w:val="5BBC7CD9"/>
    <w:rsid w:val="5BC17039"/>
    <w:rsid w:val="5BC207F8"/>
    <w:rsid w:val="5BC50128"/>
    <w:rsid w:val="5BC723A4"/>
    <w:rsid w:val="5BCF7BF9"/>
    <w:rsid w:val="5BD45122"/>
    <w:rsid w:val="5BD90725"/>
    <w:rsid w:val="5BDA0619"/>
    <w:rsid w:val="5BDB30C2"/>
    <w:rsid w:val="5BDB68AA"/>
    <w:rsid w:val="5BDD3EA9"/>
    <w:rsid w:val="5BE06C40"/>
    <w:rsid w:val="5BE25792"/>
    <w:rsid w:val="5BE367C6"/>
    <w:rsid w:val="5BE6132E"/>
    <w:rsid w:val="5BEB0994"/>
    <w:rsid w:val="5BEB711B"/>
    <w:rsid w:val="5BF069A9"/>
    <w:rsid w:val="5BF2577B"/>
    <w:rsid w:val="5BF5345D"/>
    <w:rsid w:val="5BFF68A2"/>
    <w:rsid w:val="5C010EEF"/>
    <w:rsid w:val="5C062C85"/>
    <w:rsid w:val="5C0D1FAC"/>
    <w:rsid w:val="5C0D3C7C"/>
    <w:rsid w:val="5C0F3C27"/>
    <w:rsid w:val="5C126A47"/>
    <w:rsid w:val="5C152995"/>
    <w:rsid w:val="5C185F94"/>
    <w:rsid w:val="5C192189"/>
    <w:rsid w:val="5C1A0B69"/>
    <w:rsid w:val="5C1C7AB3"/>
    <w:rsid w:val="5C211B28"/>
    <w:rsid w:val="5C2446EA"/>
    <w:rsid w:val="5C2641D6"/>
    <w:rsid w:val="5C2A116B"/>
    <w:rsid w:val="5C2C51CA"/>
    <w:rsid w:val="5C2E0ABA"/>
    <w:rsid w:val="5C313602"/>
    <w:rsid w:val="5C324D96"/>
    <w:rsid w:val="5C3A18CA"/>
    <w:rsid w:val="5C3A18DF"/>
    <w:rsid w:val="5C3E73FE"/>
    <w:rsid w:val="5C4302AF"/>
    <w:rsid w:val="5C463F6A"/>
    <w:rsid w:val="5C496E06"/>
    <w:rsid w:val="5C4C6EB1"/>
    <w:rsid w:val="5C501594"/>
    <w:rsid w:val="5C522BE4"/>
    <w:rsid w:val="5C536E44"/>
    <w:rsid w:val="5C571A41"/>
    <w:rsid w:val="5C574D75"/>
    <w:rsid w:val="5C5D5D6D"/>
    <w:rsid w:val="5C63455C"/>
    <w:rsid w:val="5C635952"/>
    <w:rsid w:val="5C6652E6"/>
    <w:rsid w:val="5C690B0C"/>
    <w:rsid w:val="5C7103F1"/>
    <w:rsid w:val="5C7215A0"/>
    <w:rsid w:val="5C73277D"/>
    <w:rsid w:val="5C7902CA"/>
    <w:rsid w:val="5C7C5E2E"/>
    <w:rsid w:val="5C7F16FD"/>
    <w:rsid w:val="5C85359B"/>
    <w:rsid w:val="5C8D72C6"/>
    <w:rsid w:val="5C8E4677"/>
    <w:rsid w:val="5C8E4D46"/>
    <w:rsid w:val="5C911EB8"/>
    <w:rsid w:val="5C945015"/>
    <w:rsid w:val="5C945717"/>
    <w:rsid w:val="5C957958"/>
    <w:rsid w:val="5C9654F7"/>
    <w:rsid w:val="5C985759"/>
    <w:rsid w:val="5C9C33FA"/>
    <w:rsid w:val="5C9E0390"/>
    <w:rsid w:val="5C9E045D"/>
    <w:rsid w:val="5CA04AEF"/>
    <w:rsid w:val="5CA15E2E"/>
    <w:rsid w:val="5CA66DA7"/>
    <w:rsid w:val="5CA82D14"/>
    <w:rsid w:val="5CAF666E"/>
    <w:rsid w:val="5CB10CFF"/>
    <w:rsid w:val="5CB271BC"/>
    <w:rsid w:val="5CB758DF"/>
    <w:rsid w:val="5CBA28DD"/>
    <w:rsid w:val="5CBD2C0F"/>
    <w:rsid w:val="5CBE0B0E"/>
    <w:rsid w:val="5CC14169"/>
    <w:rsid w:val="5CC26997"/>
    <w:rsid w:val="5CCA2082"/>
    <w:rsid w:val="5CCC6D9E"/>
    <w:rsid w:val="5CCE39C9"/>
    <w:rsid w:val="5CD228A4"/>
    <w:rsid w:val="5CD274FA"/>
    <w:rsid w:val="5CD43D55"/>
    <w:rsid w:val="5CD51A0B"/>
    <w:rsid w:val="5CD60FB2"/>
    <w:rsid w:val="5CD64B8F"/>
    <w:rsid w:val="5CD73EA1"/>
    <w:rsid w:val="5CD9009B"/>
    <w:rsid w:val="5CDD4918"/>
    <w:rsid w:val="5CE35510"/>
    <w:rsid w:val="5CE87597"/>
    <w:rsid w:val="5CEA0714"/>
    <w:rsid w:val="5CEA3937"/>
    <w:rsid w:val="5CEC5FF7"/>
    <w:rsid w:val="5CF05FF8"/>
    <w:rsid w:val="5CF61D7D"/>
    <w:rsid w:val="5CFA0127"/>
    <w:rsid w:val="5CFE554A"/>
    <w:rsid w:val="5D004FD7"/>
    <w:rsid w:val="5D0370EB"/>
    <w:rsid w:val="5D0C3D3D"/>
    <w:rsid w:val="5D0E426F"/>
    <w:rsid w:val="5D1102F0"/>
    <w:rsid w:val="5D1315D5"/>
    <w:rsid w:val="5D1C2240"/>
    <w:rsid w:val="5D1D2BD6"/>
    <w:rsid w:val="5D1E10C8"/>
    <w:rsid w:val="5D241D0D"/>
    <w:rsid w:val="5D2454F1"/>
    <w:rsid w:val="5D250ACE"/>
    <w:rsid w:val="5D2622B7"/>
    <w:rsid w:val="5D2853F4"/>
    <w:rsid w:val="5D287792"/>
    <w:rsid w:val="5D292DCD"/>
    <w:rsid w:val="5D2B0B6A"/>
    <w:rsid w:val="5D2C7B52"/>
    <w:rsid w:val="5D342ACA"/>
    <w:rsid w:val="5D3A4F24"/>
    <w:rsid w:val="5D3B7727"/>
    <w:rsid w:val="5D3C25BD"/>
    <w:rsid w:val="5D3F35DD"/>
    <w:rsid w:val="5D403759"/>
    <w:rsid w:val="5D405301"/>
    <w:rsid w:val="5D45145C"/>
    <w:rsid w:val="5D47432B"/>
    <w:rsid w:val="5D4A3B3F"/>
    <w:rsid w:val="5D4E03ED"/>
    <w:rsid w:val="5D4F405B"/>
    <w:rsid w:val="5D545032"/>
    <w:rsid w:val="5D637C85"/>
    <w:rsid w:val="5D680387"/>
    <w:rsid w:val="5D6D5C66"/>
    <w:rsid w:val="5D7206A1"/>
    <w:rsid w:val="5D740B52"/>
    <w:rsid w:val="5D755F99"/>
    <w:rsid w:val="5D7656F6"/>
    <w:rsid w:val="5D780377"/>
    <w:rsid w:val="5D782CF4"/>
    <w:rsid w:val="5D7B75BA"/>
    <w:rsid w:val="5D7E3940"/>
    <w:rsid w:val="5D850140"/>
    <w:rsid w:val="5D8B6621"/>
    <w:rsid w:val="5D8C6E94"/>
    <w:rsid w:val="5D8F323A"/>
    <w:rsid w:val="5D91249B"/>
    <w:rsid w:val="5D96194B"/>
    <w:rsid w:val="5D9658FD"/>
    <w:rsid w:val="5D980180"/>
    <w:rsid w:val="5D9B61ED"/>
    <w:rsid w:val="5DA13035"/>
    <w:rsid w:val="5DA81A7E"/>
    <w:rsid w:val="5DB017D3"/>
    <w:rsid w:val="5DB04DE9"/>
    <w:rsid w:val="5DB11BD7"/>
    <w:rsid w:val="5DB2760F"/>
    <w:rsid w:val="5DB72169"/>
    <w:rsid w:val="5DB76529"/>
    <w:rsid w:val="5DBF0827"/>
    <w:rsid w:val="5DC0151D"/>
    <w:rsid w:val="5DC37FE9"/>
    <w:rsid w:val="5DC568D3"/>
    <w:rsid w:val="5DCE4D4E"/>
    <w:rsid w:val="5DCF556C"/>
    <w:rsid w:val="5DD02444"/>
    <w:rsid w:val="5DD30C3F"/>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90D92"/>
    <w:rsid w:val="5E0C6185"/>
    <w:rsid w:val="5E0F1114"/>
    <w:rsid w:val="5E0F732F"/>
    <w:rsid w:val="5E104F57"/>
    <w:rsid w:val="5E111886"/>
    <w:rsid w:val="5E134CA1"/>
    <w:rsid w:val="5E146038"/>
    <w:rsid w:val="5E177072"/>
    <w:rsid w:val="5E281900"/>
    <w:rsid w:val="5E2C055E"/>
    <w:rsid w:val="5E2D2F8F"/>
    <w:rsid w:val="5E2F7276"/>
    <w:rsid w:val="5E323D1F"/>
    <w:rsid w:val="5E333EAF"/>
    <w:rsid w:val="5E335822"/>
    <w:rsid w:val="5E371B26"/>
    <w:rsid w:val="5E3C1695"/>
    <w:rsid w:val="5E3F0E9E"/>
    <w:rsid w:val="5E404195"/>
    <w:rsid w:val="5E407912"/>
    <w:rsid w:val="5E49141B"/>
    <w:rsid w:val="5E4B57BE"/>
    <w:rsid w:val="5E4D475B"/>
    <w:rsid w:val="5E511FF2"/>
    <w:rsid w:val="5E567FDB"/>
    <w:rsid w:val="5E585064"/>
    <w:rsid w:val="5E5B2D24"/>
    <w:rsid w:val="5E5E337E"/>
    <w:rsid w:val="5E610076"/>
    <w:rsid w:val="5E6177B3"/>
    <w:rsid w:val="5E623C9A"/>
    <w:rsid w:val="5E663BDB"/>
    <w:rsid w:val="5E693C6B"/>
    <w:rsid w:val="5E6C2656"/>
    <w:rsid w:val="5E6E0941"/>
    <w:rsid w:val="5E6E3701"/>
    <w:rsid w:val="5E734528"/>
    <w:rsid w:val="5E74323A"/>
    <w:rsid w:val="5E754C35"/>
    <w:rsid w:val="5E77494F"/>
    <w:rsid w:val="5E7B2ECF"/>
    <w:rsid w:val="5E7D29BD"/>
    <w:rsid w:val="5E8175BA"/>
    <w:rsid w:val="5E824960"/>
    <w:rsid w:val="5E863851"/>
    <w:rsid w:val="5E8B64B9"/>
    <w:rsid w:val="5E8C15B2"/>
    <w:rsid w:val="5E8E04BD"/>
    <w:rsid w:val="5E8F4B2D"/>
    <w:rsid w:val="5E923E46"/>
    <w:rsid w:val="5E93464D"/>
    <w:rsid w:val="5EA06EB3"/>
    <w:rsid w:val="5EA140CB"/>
    <w:rsid w:val="5EA56B28"/>
    <w:rsid w:val="5EA6479B"/>
    <w:rsid w:val="5EA77BA5"/>
    <w:rsid w:val="5EAA62D4"/>
    <w:rsid w:val="5EAA6A09"/>
    <w:rsid w:val="5EAB33B5"/>
    <w:rsid w:val="5EAF77EB"/>
    <w:rsid w:val="5EB46D5A"/>
    <w:rsid w:val="5EB51E5E"/>
    <w:rsid w:val="5EB72617"/>
    <w:rsid w:val="5EBB33C4"/>
    <w:rsid w:val="5EBD530E"/>
    <w:rsid w:val="5EBF1167"/>
    <w:rsid w:val="5EC25F00"/>
    <w:rsid w:val="5EC31E07"/>
    <w:rsid w:val="5EC47E53"/>
    <w:rsid w:val="5EC50363"/>
    <w:rsid w:val="5EC5413A"/>
    <w:rsid w:val="5EC613C7"/>
    <w:rsid w:val="5ECE1B70"/>
    <w:rsid w:val="5ECE3EFF"/>
    <w:rsid w:val="5ED01BB4"/>
    <w:rsid w:val="5ED27A84"/>
    <w:rsid w:val="5ED434D2"/>
    <w:rsid w:val="5ED650D9"/>
    <w:rsid w:val="5ED75DC6"/>
    <w:rsid w:val="5EDA017A"/>
    <w:rsid w:val="5EDA5D9B"/>
    <w:rsid w:val="5EDE0371"/>
    <w:rsid w:val="5EE277CE"/>
    <w:rsid w:val="5EE37203"/>
    <w:rsid w:val="5EEB2810"/>
    <w:rsid w:val="5EEF3383"/>
    <w:rsid w:val="5EF04D4E"/>
    <w:rsid w:val="5EF26BB4"/>
    <w:rsid w:val="5EF42AEB"/>
    <w:rsid w:val="5EF8799D"/>
    <w:rsid w:val="5EFC62F1"/>
    <w:rsid w:val="5EFC637F"/>
    <w:rsid w:val="5EFE1DCB"/>
    <w:rsid w:val="5EFF0CFC"/>
    <w:rsid w:val="5F065860"/>
    <w:rsid w:val="5F066390"/>
    <w:rsid w:val="5F075C75"/>
    <w:rsid w:val="5F0825EB"/>
    <w:rsid w:val="5F0930EC"/>
    <w:rsid w:val="5F0E621B"/>
    <w:rsid w:val="5F0F25B5"/>
    <w:rsid w:val="5F0F3CC7"/>
    <w:rsid w:val="5F107CCD"/>
    <w:rsid w:val="5F12528F"/>
    <w:rsid w:val="5F142E5B"/>
    <w:rsid w:val="5F1607EB"/>
    <w:rsid w:val="5F1903F3"/>
    <w:rsid w:val="5F1A516E"/>
    <w:rsid w:val="5F1C7703"/>
    <w:rsid w:val="5F2038BA"/>
    <w:rsid w:val="5F215D02"/>
    <w:rsid w:val="5F223B99"/>
    <w:rsid w:val="5F254AD4"/>
    <w:rsid w:val="5F2B3329"/>
    <w:rsid w:val="5F2C1ADA"/>
    <w:rsid w:val="5F2E206D"/>
    <w:rsid w:val="5F3C6F75"/>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A2777D"/>
    <w:rsid w:val="5FA55820"/>
    <w:rsid w:val="5FA948D4"/>
    <w:rsid w:val="5FB11875"/>
    <w:rsid w:val="5FB372F0"/>
    <w:rsid w:val="5FBD61BC"/>
    <w:rsid w:val="5FBF330D"/>
    <w:rsid w:val="5FC017AD"/>
    <w:rsid w:val="5FC142EE"/>
    <w:rsid w:val="5FD763E3"/>
    <w:rsid w:val="5FD7706A"/>
    <w:rsid w:val="5FDA46C8"/>
    <w:rsid w:val="5FDB4F3D"/>
    <w:rsid w:val="5FE10819"/>
    <w:rsid w:val="5FE2375A"/>
    <w:rsid w:val="5FE30BA2"/>
    <w:rsid w:val="5FE6571C"/>
    <w:rsid w:val="5FED0719"/>
    <w:rsid w:val="5FEF04AA"/>
    <w:rsid w:val="5FF27FE4"/>
    <w:rsid w:val="5FF36493"/>
    <w:rsid w:val="5FF85070"/>
    <w:rsid w:val="5FF9333C"/>
    <w:rsid w:val="5FFB474F"/>
    <w:rsid w:val="5FFB65C6"/>
    <w:rsid w:val="60006973"/>
    <w:rsid w:val="60050D64"/>
    <w:rsid w:val="60063A1D"/>
    <w:rsid w:val="6007124A"/>
    <w:rsid w:val="6007496A"/>
    <w:rsid w:val="600870EA"/>
    <w:rsid w:val="600B4871"/>
    <w:rsid w:val="600E6633"/>
    <w:rsid w:val="600F22B3"/>
    <w:rsid w:val="6013140E"/>
    <w:rsid w:val="601A36E0"/>
    <w:rsid w:val="601B7897"/>
    <w:rsid w:val="601D2C80"/>
    <w:rsid w:val="601E28CD"/>
    <w:rsid w:val="60240ADC"/>
    <w:rsid w:val="602640DE"/>
    <w:rsid w:val="602664AC"/>
    <w:rsid w:val="60274670"/>
    <w:rsid w:val="602B2993"/>
    <w:rsid w:val="6030097E"/>
    <w:rsid w:val="603351D0"/>
    <w:rsid w:val="6033677C"/>
    <w:rsid w:val="60344C9C"/>
    <w:rsid w:val="60360B7F"/>
    <w:rsid w:val="603B0746"/>
    <w:rsid w:val="603E43E2"/>
    <w:rsid w:val="603E4442"/>
    <w:rsid w:val="603E4F2F"/>
    <w:rsid w:val="603E6EE6"/>
    <w:rsid w:val="604076F7"/>
    <w:rsid w:val="60432B5E"/>
    <w:rsid w:val="604379C5"/>
    <w:rsid w:val="60472491"/>
    <w:rsid w:val="60474783"/>
    <w:rsid w:val="60494BE8"/>
    <w:rsid w:val="605F164B"/>
    <w:rsid w:val="60682124"/>
    <w:rsid w:val="606A3E56"/>
    <w:rsid w:val="606B1CB6"/>
    <w:rsid w:val="6073189D"/>
    <w:rsid w:val="60736A2F"/>
    <w:rsid w:val="607443D2"/>
    <w:rsid w:val="607445DC"/>
    <w:rsid w:val="6075702F"/>
    <w:rsid w:val="607A48AD"/>
    <w:rsid w:val="607C742A"/>
    <w:rsid w:val="607D0570"/>
    <w:rsid w:val="607F1030"/>
    <w:rsid w:val="60800E85"/>
    <w:rsid w:val="60801EB9"/>
    <w:rsid w:val="60836310"/>
    <w:rsid w:val="608703D6"/>
    <w:rsid w:val="60884273"/>
    <w:rsid w:val="608A3E41"/>
    <w:rsid w:val="608B6649"/>
    <w:rsid w:val="60913BAC"/>
    <w:rsid w:val="609822C1"/>
    <w:rsid w:val="60990BD7"/>
    <w:rsid w:val="609D4C24"/>
    <w:rsid w:val="60A11B40"/>
    <w:rsid w:val="60A20F88"/>
    <w:rsid w:val="60A3504C"/>
    <w:rsid w:val="60AB2669"/>
    <w:rsid w:val="60AD2D3C"/>
    <w:rsid w:val="60B22EF5"/>
    <w:rsid w:val="60B735D2"/>
    <w:rsid w:val="60B90CB5"/>
    <w:rsid w:val="60BE25CD"/>
    <w:rsid w:val="60C31A2D"/>
    <w:rsid w:val="60C43F83"/>
    <w:rsid w:val="60C44D7F"/>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7604F"/>
    <w:rsid w:val="610D2292"/>
    <w:rsid w:val="61130208"/>
    <w:rsid w:val="61132D8F"/>
    <w:rsid w:val="61174B39"/>
    <w:rsid w:val="611758B7"/>
    <w:rsid w:val="61177410"/>
    <w:rsid w:val="61184C59"/>
    <w:rsid w:val="611A2038"/>
    <w:rsid w:val="611B654F"/>
    <w:rsid w:val="611C5424"/>
    <w:rsid w:val="61221436"/>
    <w:rsid w:val="61224A99"/>
    <w:rsid w:val="612369B4"/>
    <w:rsid w:val="61293789"/>
    <w:rsid w:val="612C5770"/>
    <w:rsid w:val="612D25D8"/>
    <w:rsid w:val="61360AC0"/>
    <w:rsid w:val="613A74B9"/>
    <w:rsid w:val="613C1C4E"/>
    <w:rsid w:val="613C418D"/>
    <w:rsid w:val="613F585A"/>
    <w:rsid w:val="6147048D"/>
    <w:rsid w:val="61487CA7"/>
    <w:rsid w:val="614A39D3"/>
    <w:rsid w:val="614D3232"/>
    <w:rsid w:val="614F005B"/>
    <w:rsid w:val="61547574"/>
    <w:rsid w:val="615643FF"/>
    <w:rsid w:val="615D7476"/>
    <w:rsid w:val="615F7EE9"/>
    <w:rsid w:val="61612929"/>
    <w:rsid w:val="61643743"/>
    <w:rsid w:val="616A5B5D"/>
    <w:rsid w:val="616E1D6F"/>
    <w:rsid w:val="61725159"/>
    <w:rsid w:val="61731D66"/>
    <w:rsid w:val="61747347"/>
    <w:rsid w:val="617C37F4"/>
    <w:rsid w:val="617E6243"/>
    <w:rsid w:val="61843430"/>
    <w:rsid w:val="61877D0B"/>
    <w:rsid w:val="618F45CD"/>
    <w:rsid w:val="619107C8"/>
    <w:rsid w:val="61965727"/>
    <w:rsid w:val="619A086F"/>
    <w:rsid w:val="619B6580"/>
    <w:rsid w:val="619F7ACD"/>
    <w:rsid w:val="61A866D6"/>
    <w:rsid w:val="61AA52DF"/>
    <w:rsid w:val="61AC0061"/>
    <w:rsid w:val="61AC2470"/>
    <w:rsid w:val="61AF392E"/>
    <w:rsid w:val="61B661C6"/>
    <w:rsid w:val="61B87573"/>
    <w:rsid w:val="61BB1B37"/>
    <w:rsid w:val="61BC4E60"/>
    <w:rsid w:val="61C041DC"/>
    <w:rsid w:val="61C05067"/>
    <w:rsid w:val="61C33C28"/>
    <w:rsid w:val="61C443CD"/>
    <w:rsid w:val="61C91364"/>
    <w:rsid w:val="61C915F8"/>
    <w:rsid w:val="61D034C4"/>
    <w:rsid w:val="61D8293B"/>
    <w:rsid w:val="61D9091A"/>
    <w:rsid w:val="61DC14D5"/>
    <w:rsid w:val="61E03C84"/>
    <w:rsid w:val="61E069EE"/>
    <w:rsid w:val="61E363D8"/>
    <w:rsid w:val="61E43009"/>
    <w:rsid w:val="61E83ED6"/>
    <w:rsid w:val="61EC6B91"/>
    <w:rsid w:val="61F21FD2"/>
    <w:rsid w:val="61FD3DC4"/>
    <w:rsid w:val="61FE5844"/>
    <w:rsid w:val="62004DE6"/>
    <w:rsid w:val="62047640"/>
    <w:rsid w:val="62056372"/>
    <w:rsid w:val="62097951"/>
    <w:rsid w:val="620D54F0"/>
    <w:rsid w:val="620E7442"/>
    <w:rsid w:val="62186D69"/>
    <w:rsid w:val="62212D49"/>
    <w:rsid w:val="6222241E"/>
    <w:rsid w:val="62263F05"/>
    <w:rsid w:val="622710A4"/>
    <w:rsid w:val="62281E02"/>
    <w:rsid w:val="62290321"/>
    <w:rsid w:val="62295859"/>
    <w:rsid w:val="622B1483"/>
    <w:rsid w:val="622C7EFF"/>
    <w:rsid w:val="62310466"/>
    <w:rsid w:val="62317C97"/>
    <w:rsid w:val="62331129"/>
    <w:rsid w:val="623420F4"/>
    <w:rsid w:val="623C52F6"/>
    <w:rsid w:val="623E03FD"/>
    <w:rsid w:val="623E3CFD"/>
    <w:rsid w:val="623F751F"/>
    <w:rsid w:val="62423062"/>
    <w:rsid w:val="62445F7C"/>
    <w:rsid w:val="6245610A"/>
    <w:rsid w:val="624871FD"/>
    <w:rsid w:val="624E7508"/>
    <w:rsid w:val="62515B94"/>
    <w:rsid w:val="62562017"/>
    <w:rsid w:val="62567309"/>
    <w:rsid w:val="62570F9F"/>
    <w:rsid w:val="6257242E"/>
    <w:rsid w:val="62580196"/>
    <w:rsid w:val="62587119"/>
    <w:rsid w:val="625E4138"/>
    <w:rsid w:val="6263351F"/>
    <w:rsid w:val="62633B17"/>
    <w:rsid w:val="626E1485"/>
    <w:rsid w:val="627077FA"/>
    <w:rsid w:val="6277179C"/>
    <w:rsid w:val="627953D3"/>
    <w:rsid w:val="627C6561"/>
    <w:rsid w:val="627C6AF2"/>
    <w:rsid w:val="627D238E"/>
    <w:rsid w:val="6281149E"/>
    <w:rsid w:val="62814AC5"/>
    <w:rsid w:val="62824AF9"/>
    <w:rsid w:val="62850A93"/>
    <w:rsid w:val="628A77AC"/>
    <w:rsid w:val="62905A75"/>
    <w:rsid w:val="629236BE"/>
    <w:rsid w:val="6294448A"/>
    <w:rsid w:val="6296199C"/>
    <w:rsid w:val="629668B6"/>
    <w:rsid w:val="62984204"/>
    <w:rsid w:val="629C1E1E"/>
    <w:rsid w:val="62A07A27"/>
    <w:rsid w:val="62A46F9E"/>
    <w:rsid w:val="62A72DD4"/>
    <w:rsid w:val="62A87D09"/>
    <w:rsid w:val="62A97E1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D14D0A"/>
    <w:rsid w:val="62D67E2B"/>
    <w:rsid w:val="62D7271F"/>
    <w:rsid w:val="62D901BE"/>
    <w:rsid w:val="62D936E6"/>
    <w:rsid w:val="62DD147A"/>
    <w:rsid w:val="62DF4F75"/>
    <w:rsid w:val="62E15891"/>
    <w:rsid w:val="62E76DF3"/>
    <w:rsid w:val="62EA49E1"/>
    <w:rsid w:val="62EA5C2C"/>
    <w:rsid w:val="62ED526B"/>
    <w:rsid w:val="62F10D0D"/>
    <w:rsid w:val="62F147BA"/>
    <w:rsid w:val="62F3392D"/>
    <w:rsid w:val="62F4274A"/>
    <w:rsid w:val="62F654CF"/>
    <w:rsid w:val="62FA3F93"/>
    <w:rsid w:val="62FF03F8"/>
    <w:rsid w:val="63074D4D"/>
    <w:rsid w:val="630E2EB5"/>
    <w:rsid w:val="631229E5"/>
    <w:rsid w:val="63133D38"/>
    <w:rsid w:val="63170965"/>
    <w:rsid w:val="631A6AB0"/>
    <w:rsid w:val="631B16C2"/>
    <w:rsid w:val="631B2C35"/>
    <w:rsid w:val="631F2D83"/>
    <w:rsid w:val="63263F25"/>
    <w:rsid w:val="63265044"/>
    <w:rsid w:val="632B7C35"/>
    <w:rsid w:val="63314429"/>
    <w:rsid w:val="633A0420"/>
    <w:rsid w:val="633A6B15"/>
    <w:rsid w:val="633B5504"/>
    <w:rsid w:val="633F55D8"/>
    <w:rsid w:val="6341499B"/>
    <w:rsid w:val="63416F64"/>
    <w:rsid w:val="63430456"/>
    <w:rsid w:val="634325ED"/>
    <w:rsid w:val="634427D5"/>
    <w:rsid w:val="63443AEC"/>
    <w:rsid w:val="634802B3"/>
    <w:rsid w:val="63490B77"/>
    <w:rsid w:val="634A6809"/>
    <w:rsid w:val="635339A8"/>
    <w:rsid w:val="63554BAF"/>
    <w:rsid w:val="63574F6E"/>
    <w:rsid w:val="635C1B93"/>
    <w:rsid w:val="635C28DF"/>
    <w:rsid w:val="635E544C"/>
    <w:rsid w:val="63602152"/>
    <w:rsid w:val="636075B2"/>
    <w:rsid w:val="636A0F15"/>
    <w:rsid w:val="636B6090"/>
    <w:rsid w:val="636E75C9"/>
    <w:rsid w:val="6377373A"/>
    <w:rsid w:val="637A63EB"/>
    <w:rsid w:val="6385218B"/>
    <w:rsid w:val="63864A92"/>
    <w:rsid w:val="638C16E5"/>
    <w:rsid w:val="638F22B7"/>
    <w:rsid w:val="639154D4"/>
    <w:rsid w:val="63933614"/>
    <w:rsid w:val="63991163"/>
    <w:rsid w:val="63993990"/>
    <w:rsid w:val="639A1276"/>
    <w:rsid w:val="639A34E0"/>
    <w:rsid w:val="63A65D5A"/>
    <w:rsid w:val="63AB1FE1"/>
    <w:rsid w:val="63AC7FA8"/>
    <w:rsid w:val="63B5452C"/>
    <w:rsid w:val="63B76AE2"/>
    <w:rsid w:val="63BD439C"/>
    <w:rsid w:val="63BD5BBB"/>
    <w:rsid w:val="63C0331D"/>
    <w:rsid w:val="63C14A23"/>
    <w:rsid w:val="63C20DCE"/>
    <w:rsid w:val="63C41DD1"/>
    <w:rsid w:val="63C72372"/>
    <w:rsid w:val="63CA38F1"/>
    <w:rsid w:val="63CA5F64"/>
    <w:rsid w:val="63CF2708"/>
    <w:rsid w:val="63D0639D"/>
    <w:rsid w:val="63D21E8E"/>
    <w:rsid w:val="63D25757"/>
    <w:rsid w:val="63D32D5D"/>
    <w:rsid w:val="63D342D4"/>
    <w:rsid w:val="63D72CE7"/>
    <w:rsid w:val="63D961A4"/>
    <w:rsid w:val="63DD49E0"/>
    <w:rsid w:val="63DD794A"/>
    <w:rsid w:val="63E0006E"/>
    <w:rsid w:val="63E017D9"/>
    <w:rsid w:val="63E03FEA"/>
    <w:rsid w:val="63E43789"/>
    <w:rsid w:val="63E647F0"/>
    <w:rsid w:val="63E96742"/>
    <w:rsid w:val="63EF406A"/>
    <w:rsid w:val="63F015FE"/>
    <w:rsid w:val="63F25DA5"/>
    <w:rsid w:val="64080F2B"/>
    <w:rsid w:val="64083E4E"/>
    <w:rsid w:val="6408414F"/>
    <w:rsid w:val="64097026"/>
    <w:rsid w:val="640A4171"/>
    <w:rsid w:val="640C5C73"/>
    <w:rsid w:val="640E6446"/>
    <w:rsid w:val="640F5F87"/>
    <w:rsid w:val="6410782B"/>
    <w:rsid w:val="64113A0D"/>
    <w:rsid w:val="64122CC8"/>
    <w:rsid w:val="64126AB8"/>
    <w:rsid w:val="64131ACE"/>
    <w:rsid w:val="64181AFF"/>
    <w:rsid w:val="64193316"/>
    <w:rsid w:val="641E2F9B"/>
    <w:rsid w:val="641F6408"/>
    <w:rsid w:val="64267B2C"/>
    <w:rsid w:val="642C2369"/>
    <w:rsid w:val="642C3D72"/>
    <w:rsid w:val="6435158C"/>
    <w:rsid w:val="64361A2B"/>
    <w:rsid w:val="64477E7E"/>
    <w:rsid w:val="644C64F7"/>
    <w:rsid w:val="644E7565"/>
    <w:rsid w:val="64532501"/>
    <w:rsid w:val="64573736"/>
    <w:rsid w:val="64595EAC"/>
    <w:rsid w:val="645F50BB"/>
    <w:rsid w:val="646266D4"/>
    <w:rsid w:val="64633E02"/>
    <w:rsid w:val="64644BD2"/>
    <w:rsid w:val="64655408"/>
    <w:rsid w:val="64666FE0"/>
    <w:rsid w:val="6467307F"/>
    <w:rsid w:val="646905B9"/>
    <w:rsid w:val="646A4255"/>
    <w:rsid w:val="64713B8F"/>
    <w:rsid w:val="647215F8"/>
    <w:rsid w:val="64753628"/>
    <w:rsid w:val="64780C1F"/>
    <w:rsid w:val="647B62E5"/>
    <w:rsid w:val="647C4DDA"/>
    <w:rsid w:val="647F7F95"/>
    <w:rsid w:val="648230FE"/>
    <w:rsid w:val="64844B8F"/>
    <w:rsid w:val="6485021D"/>
    <w:rsid w:val="64897D48"/>
    <w:rsid w:val="648B5C8D"/>
    <w:rsid w:val="648D2337"/>
    <w:rsid w:val="649040B2"/>
    <w:rsid w:val="6490534C"/>
    <w:rsid w:val="64932164"/>
    <w:rsid w:val="64941D03"/>
    <w:rsid w:val="6494581D"/>
    <w:rsid w:val="64956002"/>
    <w:rsid w:val="64990A00"/>
    <w:rsid w:val="649E79D6"/>
    <w:rsid w:val="649F3400"/>
    <w:rsid w:val="64A277B8"/>
    <w:rsid w:val="64A74331"/>
    <w:rsid w:val="64AB6B0F"/>
    <w:rsid w:val="64AE0ED1"/>
    <w:rsid w:val="64AE4EA4"/>
    <w:rsid w:val="64B333E7"/>
    <w:rsid w:val="64B70560"/>
    <w:rsid w:val="64B7365E"/>
    <w:rsid w:val="64B931F8"/>
    <w:rsid w:val="64BA2907"/>
    <w:rsid w:val="64BD76A0"/>
    <w:rsid w:val="64BE7826"/>
    <w:rsid w:val="64C32A6F"/>
    <w:rsid w:val="64C635B7"/>
    <w:rsid w:val="64C70EC1"/>
    <w:rsid w:val="64C91401"/>
    <w:rsid w:val="64CD2D4A"/>
    <w:rsid w:val="64CD5F86"/>
    <w:rsid w:val="64CE720C"/>
    <w:rsid w:val="64D00401"/>
    <w:rsid w:val="64D03E07"/>
    <w:rsid w:val="64D5220C"/>
    <w:rsid w:val="64D71BA6"/>
    <w:rsid w:val="64D84777"/>
    <w:rsid w:val="64E41485"/>
    <w:rsid w:val="64E91047"/>
    <w:rsid w:val="64E934DA"/>
    <w:rsid w:val="64F05517"/>
    <w:rsid w:val="64F45D47"/>
    <w:rsid w:val="64FB3A3F"/>
    <w:rsid w:val="64FB7419"/>
    <w:rsid w:val="64FC5F83"/>
    <w:rsid w:val="650027AD"/>
    <w:rsid w:val="65012C86"/>
    <w:rsid w:val="65086F6E"/>
    <w:rsid w:val="6509389D"/>
    <w:rsid w:val="650C1CA0"/>
    <w:rsid w:val="650D08C4"/>
    <w:rsid w:val="650D143C"/>
    <w:rsid w:val="650E62A9"/>
    <w:rsid w:val="651048DE"/>
    <w:rsid w:val="651052B3"/>
    <w:rsid w:val="65122F40"/>
    <w:rsid w:val="65141EC4"/>
    <w:rsid w:val="6516014D"/>
    <w:rsid w:val="65180FA7"/>
    <w:rsid w:val="651A790D"/>
    <w:rsid w:val="651E622B"/>
    <w:rsid w:val="651F596D"/>
    <w:rsid w:val="65230CC1"/>
    <w:rsid w:val="65230E19"/>
    <w:rsid w:val="65260B2E"/>
    <w:rsid w:val="6529782D"/>
    <w:rsid w:val="653A7CE0"/>
    <w:rsid w:val="653F2910"/>
    <w:rsid w:val="653F3F4B"/>
    <w:rsid w:val="65442614"/>
    <w:rsid w:val="65483234"/>
    <w:rsid w:val="654D6045"/>
    <w:rsid w:val="655A3450"/>
    <w:rsid w:val="655E4E68"/>
    <w:rsid w:val="655E5BA3"/>
    <w:rsid w:val="656503D7"/>
    <w:rsid w:val="6568546B"/>
    <w:rsid w:val="657024EB"/>
    <w:rsid w:val="657076A0"/>
    <w:rsid w:val="65776C14"/>
    <w:rsid w:val="657D055C"/>
    <w:rsid w:val="657D4CAA"/>
    <w:rsid w:val="658162D4"/>
    <w:rsid w:val="658D6A00"/>
    <w:rsid w:val="658F3432"/>
    <w:rsid w:val="659000AC"/>
    <w:rsid w:val="65945ABB"/>
    <w:rsid w:val="65952705"/>
    <w:rsid w:val="6595479B"/>
    <w:rsid w:val="659C2B2E"/>
    <w:rsid w:val="659E4899"/>
    <w:rsid w:val="65A02387"/>
    <w:rsid w:val="65A46778"/>
    <w:rsid w:val="65AD490A"/>
    <w:rsid w:val="65AE37C3"/>
    <w:rsid w:val="65AF5A95"/>
    <w:rsid w:val="65B33EE8"/>
    <w:rsid w:val="65B63190"/>
    <w:rsid w:val="65B84F32"/>
    <w:rsid w:val="65B93817"/>
    <w:rsid w:val="65BA1198"/>
    <w:rsid w:val="65BC64AA"/>
    <w:rsid w:val="65CB0D03"/>
    <w:rsid w:val="65D02159"/>
    <w:rsid w:val="65D857B8"/>
    <w:rsid w:val="65E66143"/>
    <w:rsid w:val="65E731DB"/>
    <w:rsid w:val="65E94987"/>
    <w:rsid w:val="65EB61D4"/>
    <w:rsid w:val="65ED499C"/>
    <w:rsid w:val="65EF690E"/>
    <w:rsid w:val="65F04330"/>
    <w:rsid w:val="65F20F15"/>
    <w:rsid w:val="65F3675D"/>
    <w:rsid w:val="65F618D7"/>
    <w:rsid w:val="65FB2DBA"/>
    <w:rsid w:val="65FD216C"/>
    <w:rsid w:val="65FE7DD6"/>
    <w:rsid w:val="66031B87"/>
    <w:rsid w:val="66046F7B"/>
    <w:rsid w:val="66060290"/>
    <w:rsid w:val="6606111A"/>
    <w:rsid w:val="660A05D9"/>
    <w:rsid w:val="660A47D1"/>
    <w:rsid w:val="660B76F3"/>
    <w:rsid w:val="660B7B56"/>
    <w:rsid w:val="660C4124"/>
    <w:rsid w:val="660E70AA"/>
    <w:rsid w:val="661511A4"/>
    <w:rsid w:val="66156C4D"/>
    <w:rsid w:val="66164AC3"/>
    <w:rsid w:val="661B36E7"/>
    <w:rsid w:val="66240622"/>
    <w:rsid w:val="662411BF"/>
    <w:rsid w:val="66275E7C"/>
    <w:rsid w:val="66292B84"/>
    <w:rsid w:val="662B361D"/>
    <w:rsid w:val="66314664"/>
    <w:rsid w:val="66315775"/>
    <w:rsid w:val="663E3B96"/>
    <w:rsid w:val="663F3EC7"/>
    <w:rsid w:val="66437052"/>
    <w:rsid w:val="66467706"/>
    <w:rsid w:val="664B6BB4"/>
    <w:rsid w:val="664D2E6B"/>
    <w:rsid w:val="664E3DD2"/>
    <w:rsid w:val="664E41D9"/>
    <w:rsid w:val="664F3140"/>
    <w:rsid w:val="66515883"/>
    <w:rsid w:val="665610A9"/>
    <w:rsid w:val="665701A0"/>
    <w:rsid w:val="66590DCD"/>
    <w:rsid w:val="665D3B1E"/>
    <w:rsid w:val="665E3FA2"/>
    <w:rsid w:val="66614701"/>
    <w:rsid w:val="666358BC"/>
    <w:rsid w:val="66693CFE"/>
    <w:rsid w:val="66695AF1"/>
    <w:rsid w:val="666E74C1"/>
    <w:rsid w:val="667357CC"/>
    <w:rsid w:val="66785614"/>
    <w:rsid w:val="667A263F"/>
    <w:rsid w:val="66802FE7"/>
    <w:rsid w:val="66812D23"/>
    <w:rsid w:val="66850920"/>
    <w:rsid w:val="6685512A"/>
    <w:rsid w:val="66944F0F"/>
    <w:rsid w:val="66956BCA"/>
    <w:rsid w:val="669612E0"/>
    <w:rsid w:val="669A164D"/>
    <w:rsid w:val="669A357F"/>
    <w:rsid w:val="66A31556"/>
    <w:rsid w:val="66A3661C"/>
    <w:rsid w:val="66AB4650"/>
    <w:rsid w:val="66AD7E00"/>
    <w:rsid w:val="66AE0E29"/>
    <w:rsid w:val="66AF5BE1"/>
    <w:rsid w:val="66B40759"/>
    <w:rsid w:val="66B711AC"/>
    <w:rsid w:val="66B879B4"/>
    <w:rsid w:val="66BB6588"/>
    <w:rsid w:val="66C16711"/>
    <w:rsid w:val="66C26246"/>
    <w:rsid w:val="66C41A17"/>
    <w:rsid w:val="66C4254D"/>
    <w:rsid w:val="66C7149A"/>
    <w:rsid w:val="66C9321B"/>
    <w:rsid w:val="66CB6297"/>
    <w:rsid w:val="66CC4487"/>
    <w:rsid w:val="66CF4B91"/>
    <w:rsid w:val="66D40FE2"/>
    <w:rsid w:val="66D61628"/>
    <w:rsid w:val="66DC7B4A"/>
    <w:rsid w:val="66DD09EC"/>
    <w:rsid w:val="66DF46C2"/>
    <w:rsid w:val="66E32819"/>
    <w:rsid w:val="66E40E13"/>
    <w:rsid w:val="66E41E0B"/>
    <w:rsid w:val="66E8129F"/>
    <w:rsid w:val="66E85249"/>
    <w:rsid w:val="66EB12C4"/>
    <w:rsid w:val="66F14286"/>
    <w:rsid w:val="66F43AE9"/>
    <w:rsid w:val="66FD3BFA"/>
    <w:rsid w:val="66FF75FB"/>
    <w:rsid w:val="67046F82"/>
    <w:rsid w:val="6707649E"/>
    <w:rsid w:val="67097AAA"/>
    <w:rsid w:val="670D1B71"/>
    <w:rsid w:val="67100251"/>
    <w:rsid w:val="67185503"/>
    <w:rsid w:val="671A0DE7"/>
    <w:rsid w:val="671D4475"/>
    <w:rsid w:val="67281EC7"/>
    <w:rsid w:val="67284057"/>
    <w:rsid w:val="672920F2"/>
    <w:rsid w:val="672D7681"/>
    <w:rsid w:val="6730372A"/>
    <w:rsid w:val="67344028"/>
    <w:rsid w:val="67392A66"/>
    <w:rsid w:val="674905AC"/>
    <w:rsid w:val="67496F8C"/>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27DF9"/>
    <w:rsid w:val="67834F83"/>
    <w:rsid w:val="6787737A"/>
    <w:rsid w:val="678B243A"/>
    <w:rsid w:val="678F5670"/>
    <w:rsid w:val="67906049"/>
    <w:rsid w:val="67997FFC"/>
    <w:rsid w:val="679B4BE7"/>
    <w:rsid w:val="67AF3C4A"/>
    <w:rsid w:val="67B0143C"/>
    <w:rsid w:val="67B101FC"/>
    <w:rsid w:val="67B12426"/>
    <w:rsid w:val="67B270D1"/>
    <w:rsid w:val="67BC3207"/>
    <w:rsid w:val="67BD009C"/>
    <w:rsid w:val="67BD0AFF"/>
    <w:rsid w:val="67BF3609"/>
    <w:rsid w:val="67C00B00"/>
    <w:rsid w:val="67C71D7A"/>
    <w:rsid w:val="67C80310"/>
    <w:rsid w:val="67CF2517"/>
    <w:rsid w:val="67D03558"/>
    <w:rsid w:val="67D1229B"/>
    <w:rsid w:val="67D51ED2"/>
    <w:rsid w:val="67DA0F51"/>
    <w:rsid w:val="67DA3F8E"/>
    <w:rsid w:val="67DC5320"/>
    <w:rsid w:val="67DE1626"/>
    <w:rsid w:val="67E1309E"/>
    <w:rsid w:val="67E33F08"/>
    <w:rsid w:val="67E539C0"/>
    <w:rsid w:val="67E931FD"/>
    <w:rsid w:val="67EB3A12"/>
    <w:rsid w:val="67ED4258"/>
    <w:rsid w:val="67EE586A"/>
    <w:rsid w:val="67F42D8A"/>
    <w:rsid w:val="67F52485"/>
    <w:rsid w:val="67F55A05"/>
    <w:rsid w:val="67FB0F97"/>
    <w:rsid w:val="67FB628E"/>
    <w:rsid w:val="68000F12"/>
    <w:rsid w:val="68012262"/>
    <w:rsid w:val="68065D52"/>
    <w:rsid w:val="680A41A4"/>
    <w:rsid w:val="680E4C61"/>
    <w:rsid w:val="680F5FD5"/>
    <w:rsid w:val="6810136D"/>
    <w:rsid w:val="68117D02"/>
    <w:rsid w:val="68134C9B"/>
    <w:rsid w:val="681627EA"/>
    <w:rsid w:val="681A2D9C"/>
    <w:rsid w:val="681D2634"/>
    <w:rsid w:val="68221833"/>
    <w:rsid w:val="6822784E"/>
    <w:rsid w:val="68246850"/>
    <w:rsid w:val="6825269F"/>
    <w:rsid w:val="682673BA"/>
    <w:rsid w:val="68270261"/>
    <w:rsid w:val="68276AF1"/>
    <w:rsid w:val="682812E5"/>
    <w:rsid w:val="682C3459"/>
    <w:rsid w:val="682C34C8"/>
    <w:rsid w:val="682D64C5"/>
    <w:rsid w:val="682E04DE"/>
    <w:rsid w:val="682F7DB2"/>
    <w:rsid w:val="683770B8"/>
    <w:rsid w:val="683957D8"/>
    <w:rsid w:val="683965C1"/>
    <w:rsid w:val="683B5DF7"/>
    <w:rsid w:val="683C53DC"/>
    <w:rsid w:val="683E2A58"/>
    <w:rsid w:val="683E36C2"/>
    <w:rsid w:val="68430152"/>
    <w:rsid w:val="6845509D"/>
    <w:rsid w:val="684671C9"/>
    <w:rsid w:val="684776E3"/>
    <w:rsid w:val="684D72F1"/>
    <w:rsid w:val="684F66B9"/>
    <w:rsid w:val="685009E6"/>
    <w:rsid w:val="6851683A"/>
    <w:rsid w:val="68523451"/>
    <w:rsid w:val="68523980"/>
    <w:rsid w:val="685317EF"/>
    <w:rsid w:val="68553F8F"/>
    <w:rsid w:val="68562E61"/>
    <w:rsid w:val="685655D1"/>
    <w:rsid w:val="685E0BD6"/>
    <w:rsid w:val="685F40B3"/>
    <w:rsid w:val="68627BE9"/>
    <w:rsid w:val="6863228F"/>
    <w:rsid w:val="68652CB5"/>
    <w:rsid w:val="686A2C12"/>
    <w:rsid w:val="686B6A14"/>
    <w:rsid w:val="686D7DE3"/>
    <w:rsid w:val="6873094C"/>
    <w:rsid w:val="68741757"/>
    <w:rsid w:val="68780264"/>
    <w:rsid w:val="687B3831"/>
    <w:rsid w:val="687F5E75"/>
    <w:rsid w:val="68851CBF"/>
    <w:rsid w:val="688617AE"/>
    <w:rsid w:val="68864BA5"/>
    <w:rsid w:val="688709AF"/>
    <w:rsid w:val="6887389F"/>
    <w:rsid w:val="688839FC"/>
    <w:rsid w:val="688C5DFF"/>
    <w:rsid w:val="689434DA"/>
    <w:rsid w:val="689545CE"/>
    <w:rsid w:val="68956C27"/>
    <w:rsid w:val="68983320"/>
    <w:rsid w:val="689A0693"/>
    <w:rsid w:val="689F4CC7"/>
    <w:rsid w:val="68A01296"/>
    <w:rsid w:val="68A332DF"/>
    <w:rsid w:val="68A41E22"/>
    <w:rsid w:val="68A97007"/>
    <w:rsid w:val="68AE2BE9"/>
    <w:rsid w:val="68B14444"/>
    <w:rsid w:val="68B229A4"/>
    <w:rsid w:val="68B478A9"/>
    <w:rsid w:val="68BA6A04"/>
    <w:rsid w:val="68BC201A"/>
    <w:rsid w:val="68C6004A"/>
    <w:rsid w:val="68CD056A"/>
    <w:rsid w:val="68CD410D"/>
    <w:rsid w:val="68D324D8"/>
    <w:rsid w:val="68D34ACC"/>
    <w:rsid w:val="68DB022E"/>
    <w:rsid w:val="68DD4402"/>
    <w:rsid w:val="68E1040E"/>
    <w:rsid w:val="68E21FF5"/>
    <w:rsid w:val="68E269FC"/>
    <w:rsid w:val="68E360A4"/>
    <w:rsid w:val="68E43CE8"/>
    <w:rsid w:val="68E71836"/>
    <w:rsid w:val="68EA7CB9"/>
    <w:rsid w:val="68F3092C"/>
    <w:rsid w:val="68F76E9E"/>
    <w:rsid w:val="68F91985"/>
    <w:rsid w:val="68FB1295"/>
    <w:rsid w:val="69035FD7"/>
    <w:rsid w:val="690716F0"/>
    <w:rsid w:val="69072F35"/>
    <w:rsid w:val="69075094"/>
    <w:rsid w:val="690916D6"/>
    <w:rsid w:val="69093C6E"/>
    <w:rsid w:val="690B0012"/>
    <w:rsid w:val="690C55C1"/>
    <w:rsid w:val="691146C8"/>
    <w:rsid w:val="69153A94"/>
    <w:rsid w:val="69161875"/>
    <w:rsid w:val="691619F4"/>
    <w:rsid w:val="691C4691"/>
    <w:rsid w:val="69202781"/>
    <w:rsid w:val="69261439"/>
    <w:rsid w:val="69286342"/>
    <w:rsid w:val="69291483"/>
    <w:rsid w:val="69337B4A"/>
    <w:rsid w:val="693A0AAA"/>
    <w:rsid w:val="693A7B08"/>
    <w:rsid w:val="693C4AC3"/>
    <w:rsid w:val="693F5E7E"/>
    <w:rsid w:val="694101FB"/>
    <w:rsid w:val="69442DC6"/>
    <w:rsid w:val="69461CCA"/>
    <w:rsid w:val="694E4F80"/>
    <w:rsid w:val="694F6354"/>
    <w:rsid w:val="69512123"/>
    <w:rsid w:val="6951603D"/>
    <w:rsid w:val="695529DF"/>
    <w:rsid w:val="69572DD4"/>
    <w:rsid w:val="69583967"/>
    <w:rsid w:val="6958642F"/>
    <w:rsid w:val="695A0E47"/>
    <w:rsid w:val="695A3922"/>
    <w:rsid w:val="695A42D9"/>
    <w:rsid w:val="695B6D0D"/>
    <w:rsid w:val="695F3F72"/>
    <w:rsid w:val="69602C95"/>
    <w:rsid w:val="6961430F"/>
    <w:rsid w:val="69624E8F"/>
    <w:rsid w:val="69637697"/>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72DD"/>
    <w:rsid w:val="699A3E03"/>
    <w:rsid w:val="699F6C3C"/>
    <w:rsid w:val="69A15775"/>
    <w:rsid w:val="69A36FC5"/>
    <w:rsid w:val="69AB6055"/>
    <w:rsid w:val="69B25CE5"/>
    <w:rsid w:val="69B649A4"/>
    <w:rsid w:val="69B72837"/>
    <w:rsid w:val="69C026AD"/>
    <w:rsid w:val="69C15A5B"/>
    <w:rsid w:val="69C40C44"/>
    <w:rsid w:val="69C4366B"/>
    <w:rsid w:val="69CB3017"/>
    <w:rsid w:val="69CD0DFA"/>
    <w:rsid w:val="69D07C33"/>
    <w:rsid w:val="69D24B9B"/>
    <w:rsid w:val="69D5474D"/>
    <w:rsid w:val="69D87485"/>
    <w:rsid w:val="69D9615A"/>
    <w:rsid w:val="69DA312F"/>
    <w:rsid w:val="69DB1C7B"/>
    <w:rsid w:val="69DB51C3"/>
    <w:rsid w:val="69DF1A84"/>
    <w:rsid w:val="69E74BA2"/>
    <w:rsid w:val="69E96D68"/>
    <w:rsid w:val="69EE1071"/>
    <w:rsid w:val="69F2148A"/>
    <w:rsid w:val="69F93223"/>
    <w:rsid w:val="69FF1B34"/>
    <w:rsid w:val="69FF1D44"/>
    <w:rsid w:val="6A11122C"/>
    <w:rsid w:val="6A145E00"/>
    <w:rsid w:val="6A177B05"/>
    <w:rsid w:val="6A193D7A"/>
    <w:rsid w:val="6A1C022B"/>
    <w:rsid w:val="6A257487"/>
    <w:rsid w:val="6A276108"/>
    <w:rsid w:val="6A2A4ADC"/>
    <w:rsid w:val="6A2A5F02"/>
    <w:rsid w:val="6A2F13AC"/>
    <w:rsid w:val="6A2F3F03"/>
    <w:rsid w:val="6A3465B9"/>
    <w:rsid w:val="6A3671C9"/>
    <w:rsid w:val="6A3832AF"/>
    <w:rsid w:val="6A3A6116"/>
    <w:rsid w:val="6A3F42F3"/>
    <w:rsid w:val="6A404E3D"/>
    <w:rsid w:val="6A4574D8"/>
    <w:rsid w:val="6A5E3664"/>
    <w:rsid w:val="6A605140"/>
    <w:rsid w:val="6A647D38"/>
    <w:rsid w:val="6A657204"/>
    <w:rsid w:val="6A664B2D"/>
    <w:rsid w:val="6A6D2193"/>
    <w:rsid w:val="6A6F2B33"/>
    <w:rsid w:val="6A71737A"/>
    <w:rsid w:val="6A773B5E"/>
    <w:rsid w:val="6A7F0232"/>
    <w:rsid w:val="6A821FEA"/>
    <w:rsid w:val="6A8433D2"/>
    <w:rsid w:val="6A863926"/>
    <w:rsid w:val="6A877233"/>
    <w:rsid w:val="6A882ECD"/>
    <w:rsid w:val="6A894FAF"/>
    <w:rsid w:val="6A8A320F"/>
    <w:rsid w:val="6A8D5736"/>
    <w:rsid w:val="6A904C43"/>
    <w:rsid w:val="6A9840F9"/>
    <w:rsid w:val="6A991763"/>
    <w:rsid w:val="6A99637D"/>
    <w:rsid w:val="6A9A2C09"/>
    <w:rsid w:val="6A9C158E"/>
    <w:rsid w:val="6AA20740"/>
    <w:rsid w:val="6AAA6A5D"/>
    <w:rsid w:val="6AAD12D9"/>
    <w:rsid w:val="6AB602C2"/>
    <w:rsid w:val="6AB80EB0"/>
    <w:rsid w:val="6AB943EE"/>
    <w:rsid w:val="6AC032BC"/>
    <w:rsid w:val="6AC3598A"/>
    <w:rsid w:val="6AC432CA"/>
    <w:rsid w:val="6AC6079B"/>
    <w:rsid w:val="6AC72591"/>
    <w:rsid w:val="6AC8092A"/>
    <w:rsid w:val="6ACF0D8D"/>
    <w:rsid w:val="6ACF2081"/>
    <w:rsid w:val="6AD06A6E"/>
    <w:rsid w:val="6AD159F7"/>
    <w:rsid w:val="6AD205CA"/>
    <w:rsid w:val="6AD327DD"/>
    <w:rsid w:val="6AD61295"/>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241E45"/>
    <w:rsid w:val="6B24362E"/>
    <w:rsid w:val="6B2647A5"/>
    <w:rsid w:val="6B264FB0"/>
    <w:rsid w:val="6B2A4845"/>
    <w:rsid w:val="6B363002"/>
    <w:rsid w:val="6B396BD6"/>
    <w:rsid w:val="6B3E29D6"/>
    <w:rsid w:val="6B434E08"/>
    <w:rsid w:val="6B463928"/>
    <w:rsid w:val="6B484B34"/>
    <w:rsid w:val="6B4C712F"/>
    <w:rsid w:val="6B501AD4"/>
    <w:rsid w:val="6B5039EA"/>
    <w:rsid w:val="6B57533D"/>
    <w:rsid w:val="6B585012"/>
    <w:rsid w:val="6B594D6D"/>
    <w:rsid w:val="6B597383"/>
    <w:rsid w:val="6B5C15EF"/>
    <w:rsid w:val="6B5D42CB"/>
    <w:rsid w:val="6B5E03AF"/>
    <w:rsid w:val="6B63004A"/>
    <w:rsid w:val="6B685848"/>
    <w:rsid w:val="6B6951C4"/>
    <w:rsid w:val="6B6A0970"/>
    <w:rsid w:val="6B6B795B"/>
    <w:rsid w:val="6B6C155B"/>
    <w:rsid w:val="6B6D06DC"/>
    <w:rsid w:val="6B6D17D9"/>
    <w:rsid w:val="6B7020D8"/>
    <w:rsid w:val="6B724EC5"/>
    <w:rsid w:val="6B732878"/>
    <w:rsid w:val="6B775052"/>
    <w:rsid w:val="6B797B88"/>
    <w:rsid w:val="6B7D7D02"/>
    <w:rsid w:val="6B842643"/>
    <w:rsid w:val="6B8737B2"/>
    <w:rsid w:val="6B8B6DF4"/>
    <w:rsid w:val="6B8C7923"/>
    <w:rsid w:val="6B8D07D4"/>
    <w:rsid w:val="6B8E6F7C"/>
    <w:rsid w:val="6B905270"/>
    <w:rsid w:val="6B923B2B"/>
    <w:rsid w:val="6B9429D1"/>
    <w:rsid w:val="6B98025A"/>
    <w:rsid w:val="6B98588C"/>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DE7A16"/>
    <w:rsid w:val="6BE0639E"/>
    <w:rsid w:val="6BE16DC9"/>
    <w:rsid w:val="6BE444FA"/>
    <w:rsid w:val="6BEC66EE"/>
    <w:rsid w:val="6BF07EAA"/>
    <w:rsid w:val="6BF14A0C"/>
    <w:rsid w:val="6BF20FB8"/>
    <w:rsid w:val="6BF24619"/>
    <w:rsid w:val="6BF24AF7"/>
    <w:rsid w:val="6BF85D43"/>
    <w:rsid w:val="6BFE4BB6"/>
    <w:rsid w:val="6C042D16"/>
    <w:rsid w:val="6C0537C8"/>
    <w:rsid w:val="6C084114"/>
    <w:rsid w:val="6C093B94"/>
    <w:rsid w:val="6C0F41E1"/>
    <w:rsid w:val="6C0F62DC"/>
    <w:rsid w:val="6C1A6E88"/>
    <w:rsid w:val="6C235E3E"/>
    <w:rsid w:val="6C267A02"/>
    <w:rsid w:val="6C29167F"/>
    <w:rsid w:val="6C2A6CEE"/>
    <w:rsid w:val="6C2B2504"/>
    <w:rsid w:val="6C2B4363"/>
    <w:rsid w:val="6C2E392D"/>
    <w:rsid w:val="6C304F19"/>
    <w:rsid w:val="6C3053D9"/>
    <w:rsid w:val="6C3636A7"/>
    <w:rsid w:val="6C405332"/>
    <w:rsid w:val="6C4377B6"/>
    <w:rsid w:val="6C4B6D30"/>
    <w:rsid w:val="6C5117EA"/>
    <w:rsid w:val="6C517C60"/>
    <w:rsid w:val="6C53620C"/>
    <w:rsid w:val="6C5405E0"/>
    <w:rsid w:val="6C556AE6"/>
    <w:rsid w:val="6C57453E"/>
    <w:rsid w:val="6C595BFA"/>
    <w:rsid w:val="6C606D35"/>
    <w:rsid w:val="6C644454"/>
    <w:rsid w:val="6C651AA6"/>
    <w:rsid w:val="6C6649B7"/>
    <w:rsid w:val="6C737A47"/>
    <w:rsid w:val="6C7E492F"/>
    <w:rsid w:val="6C814DA2"/>
    <w:rsid w:val="6C854DD4"/>
    <w:rsid w:val="6C8846F8"/>
    <w:rsid w:val="6C88786E"/>
    <w:rsid w:val="6C916601"/>
    <w:rsid w:val="6C930994"/>
    <w:rsid w:val="6C965EE1"/>
    <w:rsid w:val="6C974442"/>
    <w:rsid w:val="6C9D6C0C"/>
    <w:rsid w:val="6C9F1981"/>
    <w:rsid w:val="6C9F6E83"/>
    <w:rsid w:val="6CA40FE5"/>
    <w:rsid w:val="6CA900DD"/>
    <w:rsid w:val="6CA97B8B"/>
    <w:rsid w:val="6CAB3913"/>
    <w:rsid w:val="6CAE2812"/>
    <w:rsid w:val="6CB01279"/>
    <w:rsid w:val="6CB06212"/>
    <w:rsid w:val="6CB42DFD"/>
    <w:rsid w:val="6CB458DD"/>
    <w:rsid w:val="6CB53EDD"/>
    <w:rsid w:val="6CB60C69"/>
    <w:rsid w:val="6CBC4148"/>
    <w:rsid w:val="6CC06B2E"/>
    <w:rsid w:val="6CC1067B"/>
    <w:rsid w:val="6CC115B8"/>
    <w:rsid w:val="6CC42698"/>
    <w:rsid w:val="6CC56A9C"/>
    <w:rsid w:val="6CC9612D"/>
    <w:rsid w:val="6CCC52CD"/>
    <w:rsid w:val="6CCF0E03"/>
    <w:rsid w:val="6CD65BF0"/>
    <w:rsid w:val="6CD9239F"/>
    <w:rsid w:val="6CDB1F23"/>
    <w:rsid w:val="6CDC4FFE"/>
    <w:rsid w:val="6CDF7F0C"/>
    <w:rsid w:val="6CE17CF5"/>
    <w:rsid w:val="6CE33F52"/>
    <w:rsid w:val="6CE3651E"/>
    <w:rsid w:val="6CE425FD"/>
    <w:rsid w:val="6CEC0B1B"/>
    <w:rsid w:val="6CEC3EFD"/>
    <w:rsid w:val="6CEE5F47"/>
    <w:rsid w:val="6CF36C4F"/>
    <w:rsid w:val="6CF543B5"/>
    <w:rsid w:val="6CF70AA0"/>
    <w:rsid w:val="6CF86A65"/>
    <w:rsid w:val="6CFD462E"/>
    <w:rsid w:val="6D017862"/>
    <w:rsid w:val="6D071C15"/>
    <w:rsid w:val="6D0774BF"/>
    <w:rsid w:val="6D0809E9"/>
    <w:rsid w:val="6D0B09C6"/>
    <w:rsid w:val="6D0D6024"/>
    <w:rsid w:val="6D0F2B02"/>
    <w:rsid w:val="6D1A1781"/>
    <w:rsid w:val="6D1F26CE"/>
    <w:rsid w:val="6D2001F2"/>
    <w:rsid w:val="6D214E93"/>
    <w:rsid w:val="6D234A39"/>
    <w:rsid w:val="6D262378"/>
    <w:rsid w:val="6D276729"/>
    <w:rsid w:val="6D283EF1"/>
    <w:rsid w:val="6D2D1778"/>
    <w:rsid w:val="6D31357D"/>
    <w:rsid w:val="6D33793E"/>
    <w:rsid w:val="6D3412BC"/>
    <w:rsid w:val="6D34472C"/>
    <w:rsid w:val="6D347C80"/>
    <w:rsid w:val="6D362DEC"/>
    <w:rsid w:val="6D3771FC"/>
    <w:rsid w:val="6D3970A2"/>
    <w:rsid w:val="6D3A0688"/>
    <w:rsid w:val="6D3F47EE"/>
    <w:rsid w:val="6D3F5608"/>
    <w:rsid w:val="6D4072B1"/>
    <w:rsid w:val="6D414E97"/>
    <w:rsid w:val="6D4228D4"/>
    <w:rsid w:val="6D484D36"/>
    <w:rsid w:val="6D4A0555"/>
    <w:rsid w:val="6D4C4319"/>
    <w:rsid w:val="6D4D2DE5"/>
    <w:rsid w:val="6D4E5075"/>
    <w:rsid w:val="6D554A81"/>
    <w:rsid w:val="6D58542B"/>
    <w:rsid w:val="6D5D04E4"/>
    <w:rsid w:val="6D6025EF"/>
    <w:rsid w:val="6D616609"/>
    <w:rsid w:val="6D62494E"/>
    <w:rsid w:val="6D656E37"/>
    <w:rsid w:val="6D670808"/>
    <w:rsid w:val="6D6770EB"/>
    <w:rsid w:val="6D6A594B"/>
    <w:rsid w:val="6D6A6761"/>
    <w:rsid w:val="6D6D7FD9"/>
    <w:rsid w:val="6D6E2AC6"/>
    <w:rsid w:val="6D6E362A"/>
    <w:rsid w:val="6D6E5F36"/>
    <w:rsid w:val="6D6F58EC"/>
    <w:rsid w:val="6D704788"/>
    <w:rsid w:val="6D7170FE"/>
    <w:rsid w:val="6D734A13"/>
    <w:rsid w:val="6D790627"/>
    <w:rsid w:val="6D7A4E52"/>
    <w:rsid w:val="6D7B41BB"/>
    <w:rsid w:val="6D7D14EC"/>
    <w:rsid w:val="6D7D7268"/>
    <w:rsid w:val="6D7F04CF"/>
    <w:rsid w:val="6D8067B6"/>
    <w:rsid w:val="6D826D6C"/>
    <w:rsid w:val="6D84727D"/>
    <w:rsid w:val="6D8476E7"/>
    <w:rsid w:val="6D8A61A9"/>
    <w:rsid w:val="6D8B1DC5"/>
    <w:rsid w:val="6D8F663A"/>
    <w:rsid w:val="6D921648"/>
    <w:rsid w:val="6D9319F8"/>
    <w:rsid w:val="6D943E51"/>
    <w:rsid w:val="6D9A7415"/>
    <w:rsid w:val="6D9C5156"/>
    <w:rsid w:val="6D9F77B2"/>
    <w:rsid w:val="6DA22A3B"/>
    <w:rsid w:val="6DB43CBF"/>
    <w:rsid w:val="6DB65267"/>
    <w:rsid w:val="6DBA2144"/>
    <w:rsid w:val="6DBC6F45"/>
    <w:rsid w:val="6DBE7C28"/>
    <w:rsid w:val="6DC616C6"/>
    <w:rsid w:val="6DC822B5"/>
    <w:rsid w:val="6DC869CE"/>
    <w:rsid w:val="6DCA662C"/>
    <w:rsid w:val="6DCB0323"/>
    <w:rsid w:val="6DD14EEB"/>
    <w:rsid w:val="6DD54A74"/>
    <w:rsid w:val="6DDA10DC"/>
    <w:rsid w:val="6DDB452C"/>
    <w:rsid w:val="6DDC2C54"/>
    <w:rsid w:val="6DDF0934"/>
    <w:rsid w:val="6DE140AB"/>
    <w:rsid w:val="6DE1781C"/>
    <w:rsid w:val="6DE512BE"/>
    <w:rsid w:val="6DEA6AB1"/>
    <w:rsid w:val="6DF72903"/>
    <w:rsid w:val="6DF73D6D"/>
    <w:rsid w:val="6DFB5040"/>
    <w:rsid w:val="6DFC6D98"/>
    <w:rsid w:val="6DFE1195"/>
    <w:rsid w:val="6DFF0BBF"/>
    <w:rsid w:val="6DFF24B3"/>
    <w:rsid w:val="6E020358"/>
    <w:rsid w:val="6E047794"/>
    <w:rsid w:val="6E0532B3"/>
    <w:rsid w:val="6E073F12"/>
    <w:rsid w:val="6E0B5693"/>
    <w:rsid w:val="6E0B72B9"/>
    <w:rsid w:val="6E0C3F62"/>
    <w:rsid w:val="6E0C686E"/>
    <w:rsid w:val="6E1451C2"/>
    <w:rsid w:val="6E1862C9"/>
    <w:rsid w:val="6E1A321C"/>
    <w:rsid w:val="6E1B71E5"/>
    <w:rsid w:val="6E215335"/>
    <w:rsid w:val="6E262C4C"/>
    <w:rsid w:val="6E2703E9"/>
    <w:rsid w:val="6E2B2D7D"/>
    <w:rsid w:val="6E2B7861"/>
    <w:rsid w:val="6E2F1A84"/>
    <w:rsid w:val="6E355C99"/>
    <w:rsid w:val="6E39484D"/>
    <w:rsid w:val="6E3D153A"/>
    <w:rsid w:val="6E3D457A"/>
    <w:rsid w:val="6E4062BB"/>
    <w:rsid w:val="6E42444B"/>
    <w:rsid w:val="6E456023"/>
    <w:rsid w:val="6E471FA2"/>
    <w:rsid w:val="6E490287"/>
    <w:rsid w:val="6E4A4406"/>
    <w:rsid w:val="6E4D0909"/>
    <w:rsid w:val="6E4F73BE"/>
    <w:rsid w:val="6E56438B"/>
    <w:rsid w:val="6E566306"/>
    <w:rsid w:val="6E5A4474"/>
    <w:rsid w:val="6E60101C"/>
    <w:rsid w:val="6E691B5F"/>
    <w:rsid w:val="6E69641A"/>
    <w:rsid w:val="6E6B1B2A"/>
    <w:rsid w:val="6E6C3079"/>
    <w:rsid w:val="6E6D7B97"/>
    <w:rsid w:val="6E74290C"/>
    <w:rsid w:val="6E7504B7"/>
    <w:rsid w:val="6E7B4978"/>
    <w:rsid w:val="6E7C180A"/>
    <w:rsid w:val="6E7C69B8"/>
    <w:rsid w:val="6E8677E9"/>
    <w:rsid w:val="6E871FD2"/>
    <w:rsid w:val="6E8A4F6A"/>
    <w:rsid w:val="6E8A6695"/>
    <w:rsid w:val="6E8C3338"/>
    <w:rsid w:val="6E8F301E"/>
    <w:rsid w:val="6E8F6DAA"/>
    <w:rsid w:val="6E9060BF"/>
    <w:rsid w:val="6E927C63"/>
    <w:rsid w:val="6E946F0E"/>
    <w:rsid w:val="6EA06D93"/>
    <w:rsid w:val="6EA265AD"/>
    <w:rsid w:val="6EAC2515"/>
    <w:rsid w:val="6EAE21D1"/>
    <w:rsid w:val="6EB51BC3"/>
    <w:rsid w:val="6EBC5748"/>
    <w:rsid w:val="6EBD0A35"/>
    <w:rsid w:val="6EBE3949"/>
    <w:rsid w:val="6EBE4188"/>
    <w:rsid w:val="6EC030FC"/>
    <w:rsid w:val="6EC170EA"/>
    <w:rsid w:val="6EC90E53"/>
    <w:rsid w:val="6EC9451A"/>
    <w:rsid w:val="6ECB745C"/>
    <w:rsid w:val="6ECB75C0"/>
    <w:rsid w:val="6ECE425F"/>
    <w:rsid w:val="6ED21CA2"/>
    <w:rsid w:val="6ED4349A"/>
    <w:rsid w:val="6ED47DB7"/>
    <w:rsid w:val="6ED62EAE"/>
    <w:rsid w:val="6ED6762F"/>
    <w:rsid w:val="6EDA6752"/>
    <w:rsid w:val="6EDD21B2"/>
    <w:rsid w:val="6EDD39E6"/>
    <w:rsid w:val="6EE22762"/>
    <w:rsid w:val="6EE649B1"/>
    <w:rsid w:val="6EEB5DEB"/>
    <w:rsid w:val="6EEC616C"/>
    <w:rsid w:val="6EED5A95"/>
    <w:rsid w:val="6EF31F89"/>
    <w:rsid w:val="6EF423D8"/>
    <w:rsid w:val="6EF510DC"/>
    <w:rsid w:val="6EF5513D"/>
    <w:rsid w:val="6EF65FE4"/>
    <w:rsid w:val="6EFB24BE"/>
    <w:rsid w:val="6EFC0922"/>
    <w:rsid w:val="6EFE53AC"/>
    <w:rsid w:val="6EFE5570"/>
    <w:rsid w:val="6EFE6A06"/>
    <w:rsid w:val="6F015907"/>
    <w:rsid w:val="6F092C57"/>
    <w:rsid w:val="6F09622E"/>
    <w:rsid w:val="6F0A3B98"/>
    <w:rsid w:val="6F0C47B7"/>
    <w:rsid w:val="6F0D1702"/>
    <w:rsid w:val="6F0E46EF"/>
    <w:rsid w:val="6F1746E3"/>
    <w:rsid w:val="6F1C0B8B"/>
    <w:rsid w:val="6F1C79B3"/>
    <w:rsid w:val="6F1E13B7"/>
    <w:rsid w:val="6F2246AE"/>
    <w:rsid w:val="6F2E08DA"/>
    <w:rsid w:val="6F32698F"/>
    <w:rsid w:val="6F327424"/>
    <w:rsid w:val="6F384EB8"/>
    <w:rsid w:val="6F3C0E50"/>
    <w:rsid w:val="6F3E5385"/>
    <w:rsid w:val="6F4000EC"/>
    <w:rsid w:val="6F461E51"/>
    <w:rsid w:val="6F47497E"/>
    <w:rsid w:val="6F480882"/>
    <w:rsid w:val="6F48148F"/>
    <w:rsid w:val="6F506CA5"/>
    <w:rsid w:val="6F52797F"/>
    <w:rsid w:val="6F5334ED"/>
    <w:rsid w:val="6F552A1B"/>
    <w:rsid w:val="6F584BF4"/>
    <w:rsid w:val="6F59668C"/>
    <w:rsid w:val="6F5C2A9E"/>
    <w:rsid w:val="6F5C2CD0"/>
    <w:rsid w:val="6F5C5ACA"/>
    <w:rsid w:val="6F5D0749"/>
    <w:rsid w:val="6F602211"/>
    <w:rsid w:val="6F66178C"/>
    <w:rsid w:val="6F6728D3"/>
    <w:rsid w:val="6F6D40E6"/>
    <w:rsid w:val="6F6F70EB"/>
    <w:rsid w:val="6F707136"/>
    <w:rsid w:val="6F737123"/>
    <w:rsid w:val="6F7526E7"/>
    <w:rsid w:val="6F755174"/>
    <w:rsid w:val="6F790E2F"/>
    <w:rsid w:val="6F7C656C"/>
    <w:rsid w:val="6F7C7410"/>
    <w:rsid w:val="6F7E39F5"/>
    <w:rsid w:val="6F812543"/>
    <w:rsid w:val="6F9305E3"/>
    <w:rsid w:val="6F936F54"/>
    <w:rsid w:val="6F941FB9"/>
    <w:rsid w:val="6F971808"/>
    <w:rsid w:val="6F9A7B32"/>
    <w:rsid w:val="6F9D3971"/>
    <w:rsid w:val="6FA744AF"/>
    <w:rsid w:val="6FA815B5"/>
    <w:rsid w:val="6FAD41E5"/>
    <w:rsid w:val="6FBA7AB0"/>
    <w:rsid w:val="6FBC4B72"/>
    <w:rsid w:val="6FCA0E5B"/>
    <w:rsid w:val="6FCC2952"/>
    <w:rsid w:val="6FCD42BD"/>
    <w:rsid w:val="6FD25F63"/>
    <w:rsid w:val="6FD97593"/>
    <w:rsid w:val="6FE06922"/>
    <w:rsid w:val="6FE11A04"/>
    <w:rsid w:val="6FE11A6A"/>
    <w:rsid w:val="6FE441D5"/>
    <w:rsid w:val="6FE56DA6"/>
    <w:rsid w:val="6FE91832"/>
    <w:rsid w:val="6FF07145"/>
    <w:rsid w:val="6FF15C82"/>
    <w:rsid w:val="6FF74058"/>
    <w:rsid w:val="6FF850BA"/>
    <w:rsid w:val="6FF93E79"/>
    <w:rsid w:val="6FFB124C"/>
    <w:rsid w:val="6FFD13E7"/>
    <w:rsid w:val="6FFE1680"/>
    <w:rsid w:val="70035B63"/>
    <w:rsid w:val="70036C52"/>
    <w:rsid w:val="70043FF4"/>
    <w:rsid w:val="70051263"/>
    <w:rsid w:val="70074934"/>
    <w:rsid w:val="70084791"/>
    <w:rsid w:val="700A37B6"/>
    <w:rsid w:val="700A3A57"/>
    <w:rsid w:val="700B4CC3"/>
    <w:rsid w:val="700F0FC9"/>
    <w:rsid w:val="701B650B"/>
    <w:rsid w:val="70200403"/>
    <w:rsid w:val="70233697"/>
    <w:rsid w:val="70247AA9"/>
    <w:rsid w:val="7025265A"/>
    <w:rsid w:val="702708B1"/>
    <w:rsid w:val="70283C72"/>
    <w:rsid w:val="702A07BA"/>
    <w:rsid w:val="702B330B"/>
    <w:rsid w:val="702C612B"/>
    <w:rsid w:val="702E5A47"/>
    <w:rsid w:val="702F7F84"/>
    <w:rsid w:val="70373B9C"/>
    <w:rsid w:val="70375A7F"/>
    <w:rsid w:val="70456EE6"/>
    <w:rsid w:val="704622D4"/>
    <w:rsid w:val="7046270D"/>
    <w:rsid w:val="70507F66"/>
    <w:rsid w:val="70513178"/>
    <w:rsid w:val="70534217"/>
    <w:rsid w:val="70572E91"/>
    <w:rsid w:val="705C2743"/>
    <w:rsid w:val="7060303C"/>
    <w:rsid w:val="70654A23"/>
    <w:rsid w:val="706A1F04"/>
    <w:rsid w:val="706A7BF5"/>
    <w:rsid w:val="70711F9A"/>
    <w:rsid w:val="707227EF"/>
    <w:rsid w:val="70764871"/>
    <w:rsid w:val="707673F6"/>
    <w:rsid w:val="7077525B"/>
    <w:rsid w:val="707C2F7E"/>
    <w:rsid w:val="70812330"/>
    <w:rsid w:val="70844580"/>
    <w:rsid w:val="708745C8"/>
    <w:rsid w:val="708A2FB8"/>
    <w:rsid w:val="708A3E59"/>
    <w:rsid w:val="708B7FB8"/>
    <w:rsid w:val="70925C0F"/>
    <w:rsid w:val="70971996"/>
    <w:rsid w:val="70985EDB"/>
    <w:rsid w:val="709E207D"/>
    <w:rsid w:val="709E3984"/>
    <w:rsid w:val="70A01528"/>
    <w:rsid w:val="70A535EC"/>
    <w:rsid w:val="70AE69A5"/>
    <w:rsid w:val="70AF24D8"/>
    <w:rsid w:val="70B172B5"/>
    <w:rsid w:val="70B17A12"/>
    <w:rsid w:val="70B26EB0"/>
    <w:rsid w:val="70BD7981"/>
    <w:rsid w:val="70C14F6B"/>
    <w:rsid w:val="70C17302"/>
    <w:rsid w:val="70CA4199"/>
    <w:rsid w:val="70CD0CF0"/>
    <w:rsid w:val="70CD1E07"/>
    <w:rsid w:val="70CD7510"/>
    <w:rsid w:val="70D32EE1"/>
    <w:rsid w:val="70D40276"/>
    <w:rsid w:val="70D55703"/>
    <w:rsid w:val="70D8409F"/>
    <w:rsid w:val="70DA2493"/>
    <w:rsid w:val="70DB0024"/>
    <w:rsid w:val="70DC4BC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A0B5B"/>
    <w:rsid w:val="71436CDB"/>
    <w:rsid w:val="71452CBD"/>
    <w:rsid w:val="71463FC2"/>
    <w:rsid w:val="71472EFE"/>
    <w:rsid w:val="7148016B"/>
    <w:rsid w:val="71484AA8"/>
    <w:rsid w:val="714A084D"/>
    <w:rsid w:val="714A18E0"/>
    <w:rsid w:val="714D28A3"/>
    <w:rsid w:val="714D78D3"/>
    <w:rsid w:val="71503CE7"/>
    <w:rsid w:val="715352E7"/>
    <w:rsid w:val="71536C22"/>
    <w:rsid w:val="7153723D"/>
    <w:rsid w:val="71565886"/>
    <w:rsid w:val="71567F32"/>
    <w:rsid w:val="715A2207"/>
    <w:rsid w:val="715E00B3"/>
    <w:rsid w:val="71615267"/>
    <w:rsid w:val="716242AB"/>
    <w:rsid w:val="716453D4"/>
    <w:rsid w:val="716B3350"/>
    <w:rsid w:val="716F6576"/>
    <w:rsid w:val="716F72EE"/>
    <w:rsid w:val="71734806"/>
    <w:rsid w:val="71795193"/>
    <w:rsid w:val="717A35EB"/>
    <w:rsid w:val="717F72FD"/>
    <w:rsid w:val="71821750"/>
    <w:rsid w:val="7182297B"/>
    <w:rsid w:val="718266B6"/>
    <w:rsid w:val="71870EDE"/>
    <w:rsid w:val="718909CD"/>
    <w:rsid w:val="718D2D25"/>
    <w:rsid w:val="71900F60"/>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772C"/>
    <w:rsid w:val="71AC1BB3"/>
    <w:rsid w:val="71AD4ADF"/>
    <w:rsid w:val="71AE557C"/>
    <w:rsid w:val="71AE6CC2"/>
    <w:rsid w:val="71B445A0"/>
    <w:rsid w:val="71B73104"/>
    <w:rsid w:val="71BA31E1"/>
    <w:rsid w:val="71BC4D70"/>
    <w:rsid w:val="71C148D5"/>
    <w:rsid w:val="71C1714D"/>
    <w:rsid w:val="71C3323E"/>
    <w:rsid w:val="71C36526"/>
    <w:rsid w:val="71CA0779"/>
    <w:rsid w:val="71CA6C9D"/>
    <w:rsid w:val="71CE4653"/>
    <w:rsid w:val="71D15F35"/>
    <w:rsid w:val="71D27954"/>
    <w:rsid w:val="71D35537"/>
    <w:rsid w:val="71D35A15"/>
    <w:rsid w:val="71D4164F"/>
    <w:rsid w:val="71D47B54"/>
    <w:rsid w:val="71D52F5F"/>
    <w:rsid w:val="71DA05B6"/>
    <w:rsid w:val="71DA7EA4"/>
    <w:rsid w:val="71DB0D8C"/>
    <w:rsid w:val="71DD303F"/>
    <w:rsid w:val="71DD58BE"/>
    <w:rsid w:val="71DF37B5"/>
    <w:rsid w:val="71E173A1"/>
    <w:rsid w:val="71E8456C"/>
    <w:rsid w:val="71EA2CE2"/>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A58C9"/>
    <w:rsid w:val="720F3321"/>
    <w:rsid w:val="720F78E3"/>
    <w:rsid w:val="7210169A"/>
    <w:rsid w:val="72116C3F"/>
    <w:rsid w:val="72186FA4"/>
    <w:rsid w:val="721D41D3"/>
    <w:rsid w:val="721F2961"/>
    <w:rsid w:val="72246871"/>
    <w:rsid w:val="7225026E"/>
    <w:rsid w:val="722850DD"/>
    <w:rsid w:val="7229131A"/>
    <w:rsid w:val="722B6D3C"/>
    <w:rsid w:val="722E3484"/>
    <w:rsid w:val="72306D39"/>
    <w:rsid w:val="723B06B1"/>
    <w:rsid w:val="723B0B95"/>
    <w:rsid w:val="723B52B8"/>
    <w:rsid w:val="724A4324"/>
    <w:rsid w:val="72522723"/>
    <w:rsid w:val="725340BD"/>
    <w:rsid w:val="72542A36"/>
    <w:rsid w:val="72555383"/>
    <w:rsid w:val="725676AC"/>
    <w:rsid w:val="72603ACC"/>
    <w:rsid w:val="726048F1"/>
    <w:rsid w:val="7264705B"/>
    <w:rsid w:val="726843AE"/>
    <w:rsid w:val="72854082"/>
    <w:rsid w:val="7285589D"/>
    <w:rsid w:val="72870B0F"/>
    <w:rsid w:val="72880592"/>
    <w:rsid w:val="728D2090"/>
    <w:rsid w:val="728E04A0"/>
    <w:rsid w:val="72930D42"/>
    <w:rsid w:val="72A0631D"/>
    <w:rsid w:val="72A06AC1"/>
    <w:rsid w:val="72A362B4"/>
    <w:rsid w:val="72A74552"/>
    <w:rsid w:val="72A86C15"/>
    <w:rsid w:val="72AB54A5"/>
    <w:rsid w:val="72AC0588"/>
    <w:rsid w:val="72AE439C"/>
    <w:rsid w:val="72AF0B61"/>
    <w:rsid w:val="72B85A81"/>
    <w:rsid w:val="72BA03E7"/>
    <w:rsid w:val="72BA15DE"/>
    <w:rsid w:val="72BC4382"/>
    <w:rsid w:val="72BD4C62"/>
    <w:rsid w:val="72BD6F4F"/>
    <w:rsid w:val="72C73F34"/>
    <w:rsid w:val="72C82B91"/>
    <w:rsid w:val="72C83A64"/>
    <w:rsid w:val="72C87A6B"/>
    <w:rsid w:val="72CA0320"/>
    <w:rsid w:val="72CF3139"/>
    <w:rsid w:val="72D04006"/>
    <w:rsid w:val="72D10367"/>
    <w:rsid w:val="72D133D8"/>
    <w:rsid w:val="72D20C8D"/>
    <w:rsid w:val="72D21E54"/>
    <w:rsid w:val="72D34AA4"/>
    <w:rsid w:val="72D97928"/>
    <w:rsid w:val="72E34F8F"/>
    <w:rsid w:val="72F31AE3"/>
    <w:rsid w:val="72F32BA1"/>
    <w:rsid w:val="72F457C3"/>
    <w:rsid w:val="72F81755"/>
    <w:rsid w:val="72FB27FC"/>
    <w:rsid w:val="7301303C"/>
    <w:rsid w:val="73024E04"/>
    <w:rsid w:val="730B0185"/>
    <w:rsid w:val="730B2912"/>
    <w:rsid w:val="73117F42"/>
    <w:rsid w:val="73144954"/>
    <w:rsid w:val="731666BA"/>
    <w:rsid w:val="73166B31"/>
    <w:rsid w:val="731A08E9"/>
    <w:rsid w:val="731C7F6E"/>
    <w:rsid w:val="731F77E3"/>
    <w:rsid w:val="73224F07"/>
    <w:rsid w:val="732413D6"/>
    <w:rsid w:val="73252C5C"/>
    <w:rsid w:val="73266F63"/>
    <w:rsid w:val="732A69D2"/>
    <w:rsid w:val="732E7A41"/>
    <w:rsid w:val="73353A9D"/>
    <w:rsid w:val="733863C2"/>
    <w:rsid w:val="733A4AF0"/>
    <w:rsid w:val="733E3498"/>
    <w:rsid w:val="733E5133"/>
    <w:rsid w:val="73454669"/>
    <w:rsid w:val="73470963"/>
    <w:rsid w:val="73494045"/>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6032D"/>
    <w:rsid w:val="737B0259"/>
    <w:rsid w:val="73803D51"/>
    <w:rsid w:val="73814F3E"/>
    <w:rsid w:val="73833688"/>
    <w:rsid w:val="73840F89"/>
    <w:rsid w:val="73887B7B"/>
    <w:rsid w:val="738979AC"/>
    <w:rsid w:val="738B78DE"/>
    <w:rsid w:val="738C5045"/>
    <w:rsid w:val="738C5DA9"/>
    <w:rsid w:val="738E2EC4"/>
    <w:rsid w:val="738F3A55"/>
    <w:rsid w:val="738F6BA3"/>
    <w:rsid w:val="73920802"/>
    <w:rsid w:val="73946E3C"/>
    <w:rsid w:val="739942FF"/>
    <w:rsid w:val="739B22D3"/>
    <w:rsid w:val="739C1D97"/>
    <w:rsid w:val="73A649F0"/>
    <w:rsid w:val="73A760F2"/>
    <w:rsid w:val="73AD1544"/>
    <w:rsid w:val="73AD6947"/>
    <w:rsid w:val="73BC637E"/>
    <w:rsid w:val="73BD32EF"/>
    <w:rsid w:val="73BE3A8E"/>
    <w:rsid w:val="73C0368E"/>
    <w:rsid w:val="73C37EBB"/>
    <w:rsid w:val="73C55A94"/>
    <w:rsid w:val="73C773B4"/>
    <w:rsid w:val="73C82522"/>
    <w:rsid w:val="73C947EB"/>
    <w:rsid w:val="73CA1FD9"/>
    <w:rsid w:val="73CF35BC"/>
    <w:rsid w:val="73D14F68"/>
    <w:rsid w:val="73D63DCA"/>
    <w:rsid w:val="73D716CC"/>
    <w:rsid w:val="73DD2420"/>
    <w:rsid w:val="73E344E9"/>
    <w:rsid w:val="73E44A3C"/>
    <w:rsid w:val="73F813E4"/>
    <w:rsid w:val="73F97199"/>
    <w:rsid w:val="73FA0DAA"/>
    <w:rsid w:val="73FB34BE"/>
    <w:rsid w:val="73FF104A"/>
    <w:rsid w:val="740559D0"/>
    <w:rsid w:val="74084055"/>
    <w:rsid w:val="740A122A"/>
    <w:rsid w:val="740A13D9"/>
    <w:rsid w:val="740D2E53"/>
    <w:rsid w:val="74166CA8"/>
    <w:rsid w:val="74174637"/>
    <w:rsid w:val="741747BB"/>
    <w:rsid w:val="74181CD9"/>
    <w:rsid w:val="74186140"/>
    <w:rsid w:val="74187EEC"/>
    <w:rsid w:val="741964A4"/>
    <w:rsid w:val="741E57FD"/>
    <w:rsid w:val="741F4C05"/>
    <w:rsid w:val="742259F1"/>
    <w:rsid w:val="742623BC"/>
    <w:rsid w:val="742671F5"/>
    <w:rsid w:val="74272D85"/>
    <w:rsid w:val="74273B4A"/>
    <w:rsid w:val="742A50E0"/>
    <w:rsid w:val="7430610A"/>
    <w:rsid w:val="743175E8"/>
    <w:rsid w:val="743E46CE"/>
    <w:rsid w:val="74414A8B"/>
    <w:rsid w:val="74475FDB"/>
    <w:rsid w:val="744C7B5C"/>
    <w:rsid w:val="744D1D69"/>
    <w:rsid w:val="744E03F0"/>
    <w:rsid w:val="744E313E"/>
    <w:rsid w:val="74502B4C"/>
    <w:rsid w:val="74507EC5"/>
    <w:rsid w:val="74533EF2"/>
    <w:rsid w:val="74574E09"/>
    <w:rsid w:val="745F28E1"/>
    <w:rsid w:val="74600ADB"/>
    <w:rsid w:val="746206FB"/>
    <w:rsid w:val="746A50E5"/>
    <w:rsid w:val="746D577E"/>
    <w:rsid w:val="746E1854"/>
    <w:rsid w:val="746F51E0"/>
    <w:rsid w:val="74703DFE"/>
    <w:rsid w:val="747125D9"/>
    <w:rsid w:val="7476210D"/>
    <w:rsid w:val="747626CA"/>
    <w:rsid w:val="74781DB0"/>
    <w:rsid w:val="747A326E"/>
    <w:rsid w:val="747C59B7"/>
    <w:rsid w:val="74800463"/>
    <w:rsid w:val="7485252A"/>
    <w:rsid w:val="74880C4C"/>
    <w:rsid w:val="74890C3B"/>
    <w:rsid w:val="74891CF9"/>
    <w:rsid w:val="748B0C7D"/>
    <w:rsid w:val="74903C13"/>
    <w:rsid w:val="74942E91"/>
    <w:rsid w:val="74957A0A"/>
    <w:rsid w:val="74992890"/>
    <w:rsid w:val="749E3BB4"/>
    <w:rsid w:val="74A01F2F"/>
    <w:rsid w:val="74A43647"/>
    <w:rsid w:val="74A83DF8"/>
    <w:rsid w:val="74A85617"/>
    <w:rsid w:val="74AB1458"/>
    <w:rsid w:val="74AF19B2"/>
    <w:rsid w:val="74B33364"/>
    <w:rsid w:val="74B81999"/>
    <w:rsid w:val="74BC376B"/>
    <w:rsid w:val="74BD448C"/>
    <w:rsid w:val="74BE4A53"/>
    <w:rsid w:val="74C440A9"/>
    <w:rsid w:val="74C555D9"/>
    <w:rsid w:val="74CA6EF9"/>
    <w:rsid w:val="74CB4839"/>
    <w:rsid w:val="74D03534"/>
    <w:rsid w:val="74DD3E9F"/>
    <w:rsid w:val="74DE2595"/>
    <w:rsid w:val="74DE2ED9"/>
    <w:rsid w:val="74E13135"/>
    <w:rsid w:val="74E14727"/>
    <w:rsid w:val="74E47420"/>
    <w:rsid w:val="74E763A2"/>
    <w:rsid w:val="74EA3EB2"/>
    <w:rsid w:val="74EA7568"/>
    <w:rsid w:val="74ED3FBE"/>
    <w:rsid w:val="74EE4294"/>
    <w:rsid w:val="74EF6AD4"/>
    <w:rsid w:val="74F06DA8"/>
    <w:rsid w:val="74F07E0A"/>
    <w:rsid w:val="74F5538A"/>
    <w:rsid w:val="74F554E2"/>
    <w:rsid w:val="74F707D1"/>
    <w:rsid w:val="74F85625"/>
    <w:rsid w:val="74FA01BA"/>
    <w:rsid w:val="75011CF2"/>
    <w:rsid w:val="7502115E"/>
    <w:rsid w:val="750300B9"/>
    <w:rsid w:val="750842CC"/>
    <w:rsid w:val="750F4E7A"/>
    <w:rsid w:val="75111CF2"/>
    <w:rsid w:val="75181445"/>
    <w:rsid w:val="751A36F4"/>
    <w:rsid w:val="751C7D45"/>
    <w:rsid w:val="752546B5"/>
    <w:rsid w:val="752C3826"/>
    <w:rsid w:val="752F371C"/>
    <w:rsid w:val="753657D5"/>
    <w:rsid w:val="753A4DD0"/>
    <w:rsid w:val="753E2B84"/>
    <w:rsid w:val="75406B1F"/>
    <w:rsid w:val="7542280E"/>
    <w:rsid w:val="75427FDF"/>
    <w:rsid w:val="7545531A"/>
    <w:rsid w:val="75470EE6"/>
    <w:rsid w:val="754C552D"/>
    <w:rsid w:val="75560317"/>
    <w:rsid w:val="75563961"/>
    <w:rsid w:val="75566F69"/>
    <w:rsid w:val="755D1234"/>
    <w:rsid w:val="755F09DF"/>
    <w:rsid w:val="75675ADF"/>
    <w:rsid w:val="756A44B6"/>
    <w:rsid w:val="756B54F8"/>
    <w:rsid w:val="756C6582"/>
    <w:rsid w:val="756D1211"/>
    <w:rsid w:val="756E5D13"/>
    <w:rsid w:val="756F286F"/>
    <w:rsid w:val="75707A39"/>
    <w:rsid w:val="75740557"/>
    <w:rsid w:val="757525C9"/>
    <w:rsid w:val="757816ED"/>
    <w:rsid w:val="757A602C"/>
    <w:rsid w:val="757C26F4"/>
    <w:rsid w:val="757D5F81"/>
    <w:rsid w:val="757D6A62"/>
    <w:rsid w:val="757D7BAC"/>
    <w:rsid w:val="757E4F14"/>
    <w:rsid w:val="7580636A"/>
    <w:rsid w:val="758641B8"/>
    <w:rsid w:val="75901F9C"/>
    <w:rsid w:val="75952638"/>
    <w:rsid w:val="75954E5B"/>
    <w:rsid w:val="759554D0"/>
    <w:rsid w:val="759A3D89"/>
    <w:rsid w:val="759D2049"/>
    <w:rsid w:val="759D7768"/>
    <w:rsid w:val="75A07B11"/>
    <w:rsid w:val="75A70CB8"/>
    <w:rsid w:val="75AB5256"/>
    <w:rsid w:val="75AB525F"/>
    <w:rsid w:val="75AE7F66"/>
    <w:rsid w:val="75B05DB1"/>
    <w:rsid w:val="75B43531"/>
    <w:rsid w:val="75B44235"/>
    <w:rsid w:val="75B54E5D"/>
    <w:rsid w:val="75B72628"/>
    <w:rsid w:val="75B921DA"/>
    <w:rsid w:val="75B933FE"/>
    <w:rsid w:val="75B96690"/>
    <w:rsid w:val="75B977C5"/>
    <w:rsid w:val="75BE3B96"/>
    <w:rsid w:val="75BF1348"/>
    <w:rsid w:val="75C5102B"/>
    <w:rsid w:val="75CA6FDB"/>
    <w:rsid w:val="75CA76E4"/>
    <w:rsid w:val="75CD25B0"/>
    <w:rsid w:val="75D0034E"/>
    <w:rsid w:val="75D0763F"/>
    <w:rsid w:val="75D30E54"/>
    <w:rsid w:val="75D71109"/>
    <w:rsid w:val="75D729B5"/>
    <w:rsid w:val="75DB5530"/>
    <w:rsid w:val="75E376A3"/>
    <w:rsid w:val="75E82B30"/>
    <w:rsid w:val="75ED5A36"/>
    <w:rsid w:val="75FB7495"/>
    <w:rsid w:val="75FC7D3B"/>
    <w:rsid w:val="75FE31D9"/>
    <w:rsid w:val="75FF0133"/>
    <w:rsid w:val="760231B5"/>
    <w:rsid w:val="76036560"/>
    <w:rsid w:val="760976B2"/>
    <w:rsid w:val="760A687D"/>
    <w:rsid w:val="760F42CB"/>
    <w:rsid w:val="761025FD"/>
    <w:rsid w:val="76127FD1"/>
    <w:rsid w:val="76130B75"/>
    <w:rsid w:val="761361A4"/>
    <w:rsid w:val="7615116C"/>
    <w:rsid w:val="761534F7"/>
    <w:rsid w:val="7617162F"/>
    <w:rsid w:val="76192FD7"/>
    <w:rsid w:val="7619484E"/>
    <w:rsid w:val="761A00B4"/>
    <w:rsid w:val="761A4240"/>
    <w:rsid w:val="761B102B"/>
    <w:rsid w:val="761D7BB2"/>
    <w:rsid w:val="762012F3"/>
    <w:rsid w:val="762E5146"/>
    <w:rsid w:val="762F067E"/>
    <w:rsid w:val="76322CE8"/>
    <w:rsid w:val="76391262"/>
    <w:rsid w:val="763B0284"/>
    <w:rsid w:val="76404651"/>
    <w:rsid w:val="76475B71"/>
    <w:rsid w:val="764833C3"/>
    <w:rsid w:val="764B7C87"/>
    <w:rsid w:val="764C0EC8"/>
    <w:rsid w:val="764C3812"/>
    <w:rsid w:val="764D6961"/>
    <w:rsid w:val="7650294C"/>
    <w:rsid w:val="765233FB"/>
    <w:rsid w:val="765750FC"/>
    <w:rsid w:val="7659095E"/>
    <w:rsid w:val="76595BD7"/>
    <w:rsid w:val="765A2E54"/>
    <w:rsid w:val="765C20F6"/>
    <w:rsid w:val="765D3600"/>
    <w:rsid w:val="76621F9A"/>
    <w:rsid w:val="76634C58"/>
    <w:rsid w:val="766B3DFC"/>
    <w:rsid w:val="766C38AC"/>
    <w:rsid w:val="76710E80"/>
    <w:rsid w:val="76721D4F"/>
    <w:rsid w:val="76755C2C"/>
    <w:rsid w:val="76771A07"/>
    <w:rsid w:val="767C3FE1"/>
    <w:rsid w:val="767E302B"/>
    <w:rsid w:val="768921A4"/>
    <w:rsid w:val="76895AF9"/>
    <w:rsid w:val="768B5BCE"/>
    <w:rsid w:val="769016B8"/>
    <w:rsid w:val="7692351A"/>
    <w:rsid w:val="76932345"/>
    <w:rsid w:val="76982F33"/>
    <w:rsid w:val="76990DD2"/>
    <w:rsid w:val="76A5622D"/>
    <w:rsid w:val="76A633ED"/>
    <w:rsid w:val="76A81D96"/>
    <w:rsid w:val="76AB5F51"/>
    <w:rsid w:val="76B02504"/>
    <w:rsid w:val="76B576A3"/>
    <w:rsid w:val="76B97863"/>
    <w:rsid w:val="76C36DA3"/>
    <w:rsid w:val="76C67CB0"/>
    <w:rsid w:val="76CD4EB7"/>
    <w:rsid w:val="76D03D47"/>
    <w:rsid w:val="76D3508F"/>
    <w:rsid w:val="76D723E3"/>
    <w:rsid w:val="76D84D57"/>
    <w:rsid w:val="76DB3BA3"/>
    <w:rsid w:val="76DD1650"/>
    <w:rsid w:val="76E02C24"/>
    <w:rsid w:val="76E34A56"/>
    <w:rsid w:val="76E56D71"/>
    <w:rsid w:val="76E6140A"/>
    <w:rsid w:val="76EC1917"/>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6587"/>
    <w:rsid w:val="7733773C"/>
    <w:rsid w:val="77343121"/>
    <w:rsid w:val="77355E6E"/>
    <w:rsid w:val="77383244"/>
    <w:rsid w:val="773C5D9D"/>
    <w:rsid w:val="773D67AE"/>
    <w:rsid w:val="773E014C"/>
    <w:rsid w:val="773E3702"/>
    <w:rsid w:val="773F64D5"/>
    <w:rsid w:val="77402818"/>
    <w:rsid w:val="7740641E"/>
    <w:rsid w:val="77410A70"/>
    <w:rsid w:val="77443794"/>
    <w:rsid w:val="77492C03"/>
    <w:rsid w:val="774E4305"/>
    <w:rsid w:val="774F423A"/>
    <w:rsid w:val="774F7910"/>
    <w:rsid w:val="7756714D"/>
    <w:rsid w:val="77597E3E"/>
    <w:rsid w:val="77625740"/>
    <w:rsid w:val="77631446"/>
    <w:rsid w:val="776873CB"/>
    <w:rsid w:val="7769549F"/>
    <w:rsid w:val="776F52BC"/>
    <w:rsid w:val="7770604C"/>
    <w:rsid w:val="77714212"/>
    <w:rsid w:val="77761944"/>
    <w:rsid w:val="777C4D24"/>
    <w:rsid w:val="77823ED9"/>
    <w:rsid w:val="778807C6"/>
    <w:rsid w:val="77880B79"/>
    <w:rsid w:val="77883055"/>
    <w:rsid w:val="77883832"/>
    <w:rsid w:val="7789361D"/>
    <w:rsid w:val="778A4F63"/>
    <w:rsid w:val="778A7FD8"/>
    <w:rsid w:val="778E2DA5"/>
    <w:rsid w:val="778F28EE"/>
    <w:rsid w:val="77905FA2"/>
    <w:rsid w:val="77907804"/>
    <w:rsid w:val="77956910"/>
    <w:rsid w:val="779B34EE"/>
    <w:rsid w:val="779D504A"/>
    <w:rsid w:val="779F05CC"/>
    <w:rsid w:val="77A049D7"/>
    <w:rsid w:val="77A527AF"/>
    <w:rsid w:val="77A6008A"/>
    <w:rsid w:val="77AA0962"/>
    <w:rsid w:val="77AA4BB7"/>
    <w:rsid w:val="77B02189"/>
    <w:rsid w:val="77B05D89"/>
    <w:rsid w:val="77B349F9"/>
    <w:rsid w:val="77B47AEB"/>
    <w:rsid w:val="77B6601D"/>
    <w:rsid w:val="77BB391E"/>
    <w:rsid w:val="77BE30DF"/>
    <w:rsid w:val="77BF2226"/>
    <w:rsid w:val="77BF6C49"/>
    <w:rsid w:val="77C00C58"/>
    <w:rsid w:val="77CE0A81"/>
    <w:rsid w:val="77CE728E"/>
    <w:rsid w:val="77D20D74"/>
    <w:rsid w:val="77D27842"/>
    <w:rsid w:val="77D65549"/>
    <w:rsid w:val="77D73D98"/>
    <w:rsid w:val="77D7676B"/>
    <w:rsid w:val="77DA0D56"/>
    <w:rsid w:val="77DD7A01"/>
    <w:rsid w:val="77DF2B18"/>
    <w:rsid w:val="77DF4A52"/>
    <w:rsid w:val="77E30ECD"/>
    <w:rsid w:val="77E85C36"/>
    <w:rsid w:val="77EE30D2"/>
    <w:rsid w:val="77F332DF"/>
    <w:rsid w:val="77F630A0"/>
    <w:rsid w:val="78005696"/>
    <w:rsid w:val="78005B7D"/>
    <w:rsid w:val="780551E7"/>
    <w:rsid w:val="78067A5B"/>
    <w:rsid w:val="780A565F"/>
    <w:rsid w:val="780B2FEF"/>
    <w:rsid w:val="780B65FF"/>
    <w:rsid w:val="780C15F4"/>
    <w:rsid w:val="780C5081"/>
    <w:rsid w:val="780F0AC0"/>
    <w:rsid w:val="7810621D"/>
    <w:rsid w:val="78114B77"/>
    <w:rsid w:val="7812520C"/>
    <w:rsid w:val="781D006F"/>
    <w:rsid w:val="78213084"/>
    <w:rsid w:val="78213648"/>
    <w:rsid w:val="78280CF1"/>
    <w:rsid w:val="78285810"/>
    <w:rsid w:val="78287DBF"/>
    <w:rsid w:val="782C38CF"/>
    <w:rsid w:val="782D43D1"/>
    <w:rsid w:val="78305E38"/>
    <w:rsid w:val="783328A6"/>
    <w:rsid w:val="783C4C63"/>
    <w:rsid w:val="783F1D19"/>
    <w:rsid w:val="78433AD2"/>
    <w:rsid w:val="7845703E"/>
    <w:rsid w:val="784B2E74"/>
    <w:rsid w:val="784B334C"/>
    <w:rsid w:val="7850331D"/>
    <w:rsid w:val="78520561"/>
    <w:rsid w:val="785364C5"/>
    <w:rsid w:val="78536AC3"/>
    <w:rsid w:val="785E2773"/>
    <w:rsid w:val="78611B09"/>
    <w:rsid w:val="78631B96"/>
    <w:rsid w:val="7863501F"/>
    <w:rsid w:val="78640065"/>
    <w:rsid w:val="78682E27"/>
    <w:rsid w:val="786C5E43"/>
    <w:rsid w:val="786E4E5A"/>
    <w:rsid w:val="786E7579"/>
    <w:rsid w:val="7872069C"/>
    <w:rsid w:val="78726AFE"/>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2883"/>
    <w:rsid w:val="789E6098"/>
    <w:rsid w:val="78A36064"/>
    <w:rsid w:val="78A51E01"/>
    <w:rsid w:val="78A94085"/>
    <w:rsid w:val="78AA4923"/>
    <w:rsid w:val="78AA7E6E"/>
    <w:rsid w:val="78B27DE9"/>
    <w:rsid w:val="78B43694"/>
    <w:rsid w:val="78B459F2"/>
    <w:rsid w:val="78B82EC3"/>
    <w:rsid w:val="78BB09E4"/>
    <w:rsid w:val="78BB4A70"/>
    <w:rsid w:val="78BE2FCD"/>
    <w:rsid w:val="78C053B2"/>
    <w:rsid w:val="78C360A4"/>
    <w:rsid w:val="78C406B6"/>
    <w:rsid w:val="78C40BDA"/>
    <w:rsid w:val="78C95B09"/>
    <w:rsid w:val="78CA425E"/>
    <w:rsid w:val="78CC24F0"/>
    <w:rsid w:val="78CF64E3"/>
    <w:rsid w:val="78D14FAC"/>
    <w:rsid w:val="78D26170"/>
    <w:rsid w:val="78D70480"/>
    <w:rsid w:val="78DF64B9"/>
    <w:rsid w:val="78E454A2"/>
    <w:rsid w:val="78E502D7"/>
    <w:rsid w:val="78E60527"/>
    <w:rsid w:val="78E756FE"/>
    <w:rsid w:val="78E83B88"/>
    <w:rsid w:val="78E9586E"/>
    <w:rsid w:val="78EC5D80"/>
    <w:rsid w:val="78ED4AAA"/>
    <w:rsid w:val="78EF2538"/>
    <w:rsid w:val="78F202CD"/>
    <w:rsid w:val="78F34135"/>
    <w:rsid w:val="78F476E4"/>
    <w:rsid w:val="78F5465B"/>
    <w:rsid w:val="78F742A1"/>
    <w:rsid w:val="78F74D75"/>
    <w:rsid w:val="78F96958"/>
    <w:rsid w:val="79001ACD"/>
    <w:rsid w:val="7902343D"/>
    <w:rsid w:val="79094C48"/>
    <w:rsid w:val="790B1448"/>
    <w:rsid w:val="790B2FF4"/>
    <w:rsid w:val="79103549"/>
    <w:rsid w:val="791337F4"/>
    <w:rsid w:val="79145B2A"/>
    <w:rsid w:val="79161CA5"/>
    <w:rsid w:val="791A4AA2"/>
    <w:rsid w:val="791C6390"/>
    <w:rsid w:val="791E56E4"/>
    <w:rsid w:val="79204284"/>
    <w:rsid w:val="79205F77"/>
    <w:rsid w:val="7922368F"/>
    <w:rsid w:val="792551A3"/>
    <w:rsid w:val="7930162F"/>
    <w:rsid w:val="79312D2A"/>
    <w:rsid w:val="79331259"/>
    <w:rsid w:val="793706B9"/>
    <w:rsid w:val="7938329D"/>
    <w:rsid w:val="793A1AE4"/>
    <w:rsid w:val="793B5D22"/>
    <w:rsid w:val="793C7B07"/>
    <w:rsid w:val="79416D4F"/>
    <w:rsid w:val="79447468"/>
    <w:rsid w:val="794621D6"/>
    <w:rsid w:val="79486926"/>
    <w:rsid w:val="794A6843"/>
    <w:rsid w:val="795134B6"/>
    <w:rsid w:val="7955204F"/>
    <w:rsid w:val="795E06F8"/>
    <w:rsid w:val="79620926"/>
    <w:rsid w:val="79651144"/>
    <w:rsid w:val="79652A76"/>
    <w:rsid w:val="79681A85"/>
    <w:rsid w:val="79694076"/>
    <w:rsid w:val="796B6EA2"/>
    <w:rsid w:val="796D0A0E"/>
    <w:rsid w:val="79725241"/>
    <w:rsid w:val="79732E77"/>
    <w:rsid w:val="79743161"/>
    <w:rsid w:val="797646D0"/>
    <w:rsid w:val="797D5A8D"/>
    <w:rsid w:val="797E3237"/>
    <w:rsid w:val="798300AD"/>
    <w:rsid w:val="798547D0"/>
    <w:rsid w:val="798B0BA1"/>
    <w:rsid w:val="798B7ED4"/>
    <w:rsid w:val="799058F1"/>
    <w:rsid w:val="79922980"/>
    <w:rsid w:val="79927ACF"/>
    <w:rsid w:val="799538B1"/>
    <w:rsid w:val="7997453A"/>
    <w:rsid w:val="799C771D"/>
    <w:rsid w:val="799F269A"/>
    <w:rsid w:val="799F2CD5"/>
    <w:rsid w:val="79A85B1D"/>
    <w:rsid w:val="79B27C4C"/>
    <w:rsid w:val="79B622CB"/>
    <w:rsid w:val="79BD1149"/>
    <w:rsid w:val="79BD6F74"/>
    <w:rsid w:val="79BF551C"/>
    <w:rsid w:val="79C02E8B"/>
    <w:rsid w:val="79C16286"/>
    <w:rsid w:val="79C634A3"/>
    <w:rsid w:val="79C66C2E"/>
    <w:rsid w:val="79C723A4"/>
    <w:rsid w:val="79C74587"/>
    <w:rsid w:val="79CA3BEB"/>
    <w:rsid w:val="79D24898"/>
    <w:rsid w:val="79DC2596"/>
    <w:rsid w:val="79DF3AB5"/>
    <w:rsid w:val="79E05069"/>
    <w:rsid w:val="79EC2700"/>
    <w:rsid w:val="79ED6250"/>
    <w:rsid w:val="79F000FA"/>
    <w:rsid w:val="79F02DBF"/>
    <w:rsid w:val="79F213AE"/>
    <w:rsid w:val="79F778C7"/>
    <w:rsid w:val="79FD0561"/>
    <w:rsid w:val="79FE51D4"/>
    <w:rsid w:val="7A032AFE"/>
    <w:rsid w:val="7A040ABA"/>
    <w:rsid w:val="7A0419AF"/>
    <w:rsid w:val="7A065850"/>
    <w:rsid w:val="7A0738FC"/>
    <w:rsid w:val="7A097F01"/>
    <w:rsid w:val="7A0D5316"/>
    <w:rsid w:val="7A0D5907"/>
    <w:rsid w:val="7A117A90"/>
    <w:rsid w:val="7A184673"/>
    <w:rsid w:val="7A193AE2"/>
    <w:rsid w:val="7A1A3D18"/>
    <w:rsid w:val="7A1A4834"/>
    <w:rsid w:val="7A1A7DE2"/>
    <w:rsid w:val="7A1F61A8"/>
    <w:rsid w:val="7A20009A"/>
    <w:rsid w:val="7A211146"/>
    <w:rsid w:val="7A2139F7"/>
    <w:rsid w:val="7A217A72"/>
    <w:rsid w:val="7A271139"/>
    <w:rsid w:val="7A2A0837"/>
    <w:rsid w:val="7A2E5CE7"/>
    <w:rsid w:val="7A307556"/>
    <w:rsid w:val="7A322C54"/>
    <w:rsid w:val="7A323130"/>
    <w:rsid w:val="7A342CBD"/>
    <w:rsid w:val="7A387FFB"/>
    <w:rsid w:val="7A39689B"/>
    <w:rsid w:val="7A3E47B4"/>
    <w:rsid w:val="7A3F1642"/>
    <w:rsid w:val="7A522AD8"/>
    <w:rsid w:val="7A541CDF"/>
    <w:rsid w:val="7A682849"/>
    <w:rsid w:val="7A6A4FB7"/>
    <w:rsid w:val="7A6B3DC0"/>
    <w:rsid w:val="7A6C33B7"/>
    <w:rsid w:val="7A6D7652"/>
    <w:rsid w:val="7A743079"/>
    <w:rsid w:val="7A7676EB"/>
    <w:rsid w:val="7A77223D"/>
    <w:rsid w:val="7A79599C"/>
    <w:rsid w:val="7A7B33A5"/>
    <w:rsid w:val="7A7B51C7"/>
    <w:rsid w:val="7A7C5D97"/>
    <w:rsid w:val="7A7D1B3C"/>
    <w:rsid w:val="7A8449A7"/>
    <w:rsid w:val="7A8D0DF2"/>
    <w:rsid w:val="7A8D168B"/>
    <w:rsid w:val="7A8D4686"/>
    <w:rsid w:val="7A910A89"/>
    <w:rsid w:val="7A934A3F"/>
    <w:rsid w:val="7A9821DD"/>
    <w:rsid w:val="7A9D03E1"/>
    <w:rsid w:val="7A9E3EC7"/>
    <w:rsid w:val="7A9E48D6"/>
    <w:rsid w:val="7AAA7146"/>
    <w:rsid w:val="7AAC5FCE"/>
    <w:rsid w:val="7AAD5343"/>
    <w:rsid w:val="7AB02E81"/>
    <w:rsid w:val="7AB23B17"/>
    <w:rsid w:val="7AB44A8D"/>
    <w:rsid w:val="7AB53955"/>
    <w:rsid w:val="7AB67A58"/>
    <w:rsid w:val="7ABD44B1"/>
    <w:rsid w:val="7ABF5FD5"/>
    <w:rsid w:val="7AC014E2"/>
    <w:rsid w:val="7AC021F7"/>
    <w:rsid w:val="7AC21F5F"/>
    <w:rsid w:val="7AC4137C"/>
    <w:rsid w:val="7AC62FC5"/>
    <w:rsid w:val="7AC66B15"/>
    <w:rsid w:val="7AC94D59"/>
    <w:rsid w:val="7AC94F89"/>
    <w:rsid w:val="7ACD4707"/>
    <w:rsid w:val="7ACF2853"/>
    <w:rsid w:val="7AD24FE0"/>
    <w:rsid w:val="7AD401E0"/>
    <w:rsid w:val="7AD708B3"/>
    <w:rsid w:val="7AD75770"/>
    <w:rsid w:val="7AD85698"/>
    <w:rsid w:val="7ADE7980"/>
    <w:rsid w:val="7AE04024"/>
    <w:rsid w:val="7AE41B54"/>
    <w:rsid w:val="7AE70408"/>
    <w:rsid w:val="7AED79D1"/>
    <w:rsid w:val="7AF2015A"/>
    <w:rsid w:val="7AF22618"/>
    <w:rsid w:val="7AF6090B"/>
    <w:rsid w:val="7B037E2C"/>
    <w:rsid w:val="7B043E7D"/>
    <w:rsid w:val="7B085AC0"/>
    <w:rsid w:val="7B0F789B"/>
    <w:rsid w:val="7B101C17"/>
    <w:rsid w:val="7B107437"/>
    <w:rsid w:val="7B11215A"/>
    <w:rsid w:val="7B140026"/>
    <w:rsid w:val="7B153ABD"/>
    <w:rsid w:val="7B156D16"/>
    <w:rsid w:val="7B22481B"/>
    <w:rsid w:val="7B263396"/>
    <w:rsid w:val="7B2861B5"/>
    <w:rsid w:val="7B293581"/>
    <w:rsid w:val="7B2B0D4C"/>
    <w:rsid w:val="7B2E31AC"/>
    <w:rsid w:val="7B317274"/>
    <w:rsid w:val="7B324EC7"/>
    <w:rsid w:val="7B3378B2"/>
    <w:rsid w:val="7B394BFD"/>
    <w:rsid w:val="7B415DB8"/>
    <w:rsid w:val="7B420E2A"/>
    <w:rsid w:val="7B49391E"/>
    <w:rsid w:val="7B4B4A95"/>
    <w:rsid w:val="7B53523A"/>
    <w:rsid w:val="7B555750"/>
    <w:rsid w:val="7B592DDD"/>
    <w:rsid w:val="7B5B00B0"/>
    <w:rsid w:val="7B5B06E6"/>
    <w:rsid w:val="7B602D97"/>
    <w:rsid w:val="7B61362C"/>
    <w:rsid w:val="7B621F63"/>
    <w:rsid w:val="7B624E46"/>
    <w:rsid w:val="7B65732C"/>
    <w:rsid w:val="7B666080"/>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A302A"/>
    <w:rsid w:val="7B9C5455"/>
    <w:rsid w:val="7B9E2E81"/>
    <w:rsid w:val="7B9F175E"/>
    <w:rsid w:val="7B9F555A"/>
    <w:rsid w:val="7BA60DEC"/>
    <w:rsid w:val="7BAB4D2A"/>
    <w:rsid w:val="7BAD11FC"/>
    <w:rsid w:val="7BB53310"/>
    <w:rsid w:val="7BB55C27"/>
    <w:rsid w:val="7BBA1EAE"/>
    <w:rsid w:val="7BBA70B4"/>
    <w:rsid w:val="7BBD4E80"/>
    <w:rsid w:val="7BC43B6B"/>
    <w:rsid w:val="7BC61A33"/>
    <w:rsid w:val="7BC865B3"/>
    <w:rsid w:val="7BCB178D"/>
    <w:rsid w:val="7BCD7FFB"/>
    <w:rsid w:val="7BCE5623"/>
    <w:rsid w:val="7BCF1DE2"/>
    <w:rsid w:val="7BCF5CA9"/>
    <w:rsid w:val="7BD03F65"/>
    <w:rsid w:val="7BD43E2F"/>
    <w:rsid w:val="7BD4468E"/>
    <w:rsid w:val="7BD46237"/>
    <w:rsid w:val="7BD556F2"/>
    <w:rsid w:val="7BDA0029"/>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865E1"/>
    <w:rsid w:val="7C0944B0"/>
    <w:rsid w:val="7C0A1089"/>
    <w:rsid w:val="7C0B4DF3"/>
    <w:rsid w:val="7C0C78D1"/>
    <w:rsid w:val="7C1806FB"/>
    <w:rsid w:val="7C1A02C9"/>
    <w:rsid w:val="7C1C743F"/>
    <w:rsid w:val="7C1D09CF"/>
    <w:rsid w:val="7C1E0FE0"/>
    <w:rsid w:val="7C1F57E0"/>
    <w:rsid w:val="7C214DA2"/>
    <w:rsid w:val="7C234A9B"/>
    <w:rsid w:val="7C236DC4"/>
    <w:rsid w:val="7C250A5F"/>
    <w:rsid w:val="7C29156F"/>
    <w:rsid w:val="7C294D90"/>
    <w:rsid w:val="7C2A385D"/>
    <w:rsid w:val="7C2A435F"/>
    <w:rsid w:val="7C2D3878"/>
    <w:rsid w:val="7C2F4BB6"/>
    <w:rsid w:val="7C311E61"/>
    <w:rsid w:val="7C376963"/>
    <w:rsid w:val="7C3A3357"/>
    <w:rsid w:val="7C3E1BAB"/>
    <w:rsid w:val="7C435428"/>
    <w:rsid w:val="7C442165"/>
    <w:rsid w:val="7C471E28"/>
    <w:rsid w:val="7C483CAB"/>
    <w:rsid w:val="7C494D84"/>
    <w:rsid w:val="7C4C1116"/>
    <w:rsid w:val="7C4D3EE8"/>
    <w:rsid w:val="7C4F1BE9"/>
    <w:rsid w:val="7C5004C4"/>
    <w:rsid w:val="7C517000"/>
    <w:rsid w:val="7C5B13DA"/>
    <w:rsid w:val="7C5B35FA"/>
    <w:rsid w:val="7C5C7CD0"/>
    <w:rsid w:val="7C614696"/>
    <w:rsid w:val="7C690B7A"/>
    <w:rsid w:val="7C6D473C"/>
    <w:rsid w:val="7C6E0CAE"/>
    <w:rsid w:val="7C6F0C97"/>
    <w:rsid w:val="7C7147EA"/>
    <w:rsid w:val="7C7241D4"/>
    <w:rsid w:val="7C7B1E57"/>
    <w:rsid w:val="7C7C3178"/>
    <w:rsid w:val="7C8505B4"/>
    <w:rsid w:val="7C892B5F"/>
    <w:rsid w:val="7C8B4BD5"/>
    <w:rsid w:val="7C8E642B"/>
    <w:rsid w:val="7C997B87"/>
    <w:rsid w:val="7C9C0531"/>
    <w:rsid w:val="7CA06A8F"/>
    <w:rsid w:val="7CA333EB"/>
    <w:rsid w:val="7CAC1334"/>
    <w:rsid w:val="7CAC385C"/>
    <w:rsid w:val="7CB12BE0"/>
    <w:rsid w:val="7CB33312"/>
    <w:rsid w:val="7CB55EE5"/>
    <w:rsid w:val="7CB6341C"/>
    <w:rsid w:val="7CB72D34"/>
    <w:rsid w:val="7CB9256D"/>
    <w:rsid w:val="7CB93D1E"/>
    <w:rsid w:val="7CB96269"/>
    <w:rsid w:val="7CBC4622"/>
    <w:rsid w:val="7CBD1EA8"/>
    <w:rsid w:val="7CC02C37"/>
    <w:rsid w:val="7CC5108F"/>
    <w:rsid w:val="7CC6335E"/>
    <w:rsid w:val="7CC64DC3"/>
    <w:rsid w:val="7CCA49B8"/>
    <w:rsid w:val="7CCD3780"/>
    <w:rsid w:val="7CD070AA"/>
    <w:rsid w:val="7CD215D3"/>
    <w:rsid w:val="7CD258A4"/>
    <w:rsid w:val="7CD31C3B"/>
    <w:rsid w:val="7CD60EFF"/>
    <w:rsid w:val="7CD77461"/>
    <w:rsid w:val="7CD853D0"/>
    <w:rsid w:val="7CDD2005"/>
    <w:rsid w:val="7CE07596"/>
    <w:rsid w:val="7CE12241"/>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86283"/>
    <w:rsid w:val="7D2A532B"/>
    <w:rsid w:val="7D2F0219"/>
    <w:rsid w:val="7D303C80"/>
    <w:rsid w:val="7D341BC8"/>
    <w:rsid w:val="7D377DFE"/>
    <w:rsid w:val="7D381EF2"/>
    <w:rsid w:val="7D3C3AA2"/>
    <w:rsid w:val="7D3E4B1B"/>
    <w:rsid w:val="7D405AA6"/>
    <w:rsid w:val="7D4246D2"/>
    <w:rsid w:val="7D436EF5"/>
    <w:rsid w:val="7D4A7FBA"/>
    <w:rsid w:val="7D50176E"/>
    <w:rsid w:val="7D51035F"/>
    <w:rsid w:val="7D512D55"/>
    <w:rsid w:val="7D5142E5"/>
    <w:rsid w:val="7D543B71"/>
    <w:rsid w:val="7D5709AE"/>
    <w:rsid w:val="7D5E2E71"/>
    <w:rsid w:val="7D60101D"/>
    <w:rsid w:val="7D647CF1"/>
    <w:rsid w:val="7D693A8F"/>
    <w:rsid w:val="7D6B7110"/>
    <w:rsid w:val="7D6F5BF1"/>
    <w:rsid w:val="7D735336"/>
    <w:rsid w:val="7D7567BB"/>
    <w:rsid w:val="7D7C7F13"/>
    <w:rsid w:val="7D7D670C"/>
    <w:rsid w:val="7D7E4EE9"/>
    <w:rsid w:val="7D840463"/>
    <w:rsid w:val="7D8B3828"/>
    <w:rsid w:val="7D8F2AC0"/>
    <w:rsid w:val="7D8F4A18"/>
    <w:rsid w:val="7D9729C2"/>
    <w:rsid w:val="7D97639E"/>
    <w:rsid w:val="7D9C3DFE"/>
    <w:rsid w:val="7D9F07C1"/>
    <w:rsid w:val="7DA4255A"/>
    <w:rsid w:val="7DA74CE2"/>
    <w:rsid w:val="7DB06ED5"/>
    <w:rsid w:val="7DB23BAB"/>
    <w:rsid w:val="7DBE5ECB"/>
    <w:rsid w:val="7DC4752C"/>
    <w:rsid w:val="7DC55AE8"/>
    <w:rsid w:val="7DC932A8"/>
    <w:rsid w:val="7DCB15B2"/>
    <w:rsid w:val="7DD370F6"/>
    <w:rsid w:val="7DD563EE"/>
    <w:rsid w:val="7DD85DBE"/>
    <w:rsid w:val="7DDA4118"/>
    <w:rsid w:val="7DE03708"/>
    <w:rsid w:val="7DE71751"/>
    <w:rsid w:val="7DE750D0"/>
    <w:rsid w:val="7DE76338"/>
    <w:rsid w:val="7DE80CAF"/>
    <w:rsid w:val="7DE8415F"/>
    <w:rsid w:val="7DE97F44"/>
    <w:rsid w:val="7DEA6081"/>
    <w:rsid w:val="7DF13EAA"/>
    <w:rsid w:val="7DF24038"/>
    <w:rsid w:val="7DF742E6"/>
    <w:rsid w:val="7DFB6E6E"/>
    <w:rsid w:val="7DFC489D"/>
    <w:rsid w:val="7E034220"/>
    <w:rsid w:val="7E0753BF"/>
    <w:rsid w:val="7E0972BA"/>
    <w:rsid w:val="7E0976BF"/>
    <w:rsid w:val="7E0E68FC"/>
    <w:rsid w:val="7E0F2115"/>
    <w:rsid w:val="7E0F3EA6"/>
    <w:rsid w:val="7E0F4721"/>
    <w:rsid w:val="7E1246DB"/>
    <w:rsid w:val="7E165F0E"/>
    <w:rsid w:val="7E1726D8"/>
    <w:rsid w:val="7E1D0F6C"/>
    <w:rsid w:val="7E1E6DC0"/>
    <w:rsid w:val="7E20169A"/>
    <w:rsid w:val="7E274023"/>
    <w:rsid w:val="7E2B327F"/>
    <w:rsid w:val="7E2D5152"/>
    <w:rsid w:val="7E3508C6"/>
    <w:rsid w:val="7E371933"/>
    <w:rsid w:val="7E377DFA"/>
    <w:rsid w:val="7E386871"/>
    <w:rsid w:val="7E396410"/>
    <w:rsid w:val="7E3A049A"/>
    <w:rsid w:val="7E400FA8"/>
    <w:rsid w:val="7E423A55"/>
    <w:rsid w:val="7E426BF0"/>
    <w:rsid w:val="7E47196B"/>
    <w:rsid w:val="7E471DE5"/>
    <w:rsid w:val="7E475129"/>
    <w:rsid w:val="7E4A6295"/>
    <w:rsid w:val="7E4E1A75"/>
    <w:rsid w:val="7E517747"/>
    <w:rsid w:val="7E530176"/>
    <w:rsid w:val="7E572DD3"/>
    <w:rsid w:val="7E5E3322"/>
    <w:rsid w:val="7E620822"/>
    <w:rsid w:val="7E621E6B"/>
    <w:rsid w:val="7E6D71D1"/>
    <w:rsid w:val="7E7437F7"/>
    <w:rsid w:val="7E791FB3"/>
    <w:rsid w:val="7E7A323C"/>
    <w:rsid w:val="7E7D5183"/>
    <w:rsid w:val="7E7F3A17"/>
    <w:rsid w:val="7E8213DD"/>
    <w:rsid w:val="7E822269"/>
    <w:rsid w:val="7E872940"/>
    <w:rsid w:val="7E88745B"/>
    <w:rsid w:val="7E8B5212"/>
    <w:rsid w:val="7E8C0FAB"/>
    <w:rsid w:val="7E8E58CF"/>
    <w:rsid w:val="7E924992"/>
    <w:rsid w:val="7E971EC6"/>
    <w:rsid w:val="7E986288"/>
    <w:rsid w:val="7E991A2E"/>
    <w:rsid w:val="7E996026"/>
    <w:rsid w:val="7E996FB8"/>
    <w:rsid w:val="7E997CE1"/>
    <w:rsid w:val="7E9C26EE"/>
    <w:rsid w:val="7EA16798"/>
    <w:rsid w:val="7EA666C5"/>
    <w:rsid w:val="7EAE7968"/>
    <w:rsid w:val="7EAE7AD7"/>
    <w:rsid w:val="7EB11529"/>
    <w:rsid w:val="7EB22177"/>
    <w:rsid w:val="7EB63A99"/>
    <w:rsid w:val="7EB7057B"/>
    <w:rsid w:val="7EB913D1"/>
    <w:rsid w:val="7EBA14D2"/>
    <w:rsid w:val="7EBD2D75"/>
    <w:rsid w:val="7EBE328D"/>
    <w:rsid w:val="7EBE63A3"/>
    <w:rsid w:val="7EC10E27"/>
    <w:rsid w:val="7EC65342"/>
    <w:rsid w:val="7EC92461"/>
    <w:rsid w:val="7ECB640A"/>
    <w:rsid w:val="7ECD65C3"/>
    <w:rsid w:val="7ED125D2"/>
    <w:rsid w:val="7ED72625"/>
    <w:rsid w:val="7ED7579C"/>
    <w:rsid w:val="7ED91764"/>
    <w:rsid w:val="7ED92D9B"/>
    <w:rsid w:val="7EDA7E49"/>
    <w:rsid w:val="7EDB6324"/>
    <w:rsid w:val="7EDC0588"/>
    <w:rsid w:val="7EE043A3"/>
    <w:rsid w:val="7EE32EA1"/>
    <w:rsid w:val="7EE33E7E"/>
    <w:rsid w:val="7EE85E1A"/>
    <w:rsid w:val="7EE9267A"/>
    <w:rsid w:val="7EED0C0A"/>
    <w:rsid w:val="7EF02B2B"/>
    <w:rsid w:val="7EF10C15"/>
    <w:rsid w:val="7EF42B2D"/>
    <w:rsid w:val="7EF5320B"/>
    <w:rsid w:val="7EF6525A"/>
    <w:rsid w:val="7EFA0028"/>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75F4"/>
    <w:rsid w:val="7F117D87"/>
    <w:rsid w:val="7F1634AE"/>
    <w:rsid w:val="7F203CCA"/>
    <w:rsid w:val="7F235B45"/>
    <w:rsid w:val="7F2371D0"/>
    <w:rsid w:val="7F25457C"/>
    <w:rsid w:val="7F27211B"/>
    <w:rsid w:val="7F2B6FB0"/>
    <w:rsid w:val="7F2F17E7"/>
    <w:rsid w:val="7F3C3603"/>
    <w:rsid w:val="7F443395"/>
    <w:rsid w:val="7F563140"/>
    <w:rsid w:val="7F591F0E"/>
    <w:rsid w:val="7F5B5771"/>
    <w:rsid w:val="7F5F27CD"/>
    <w:rsid w:val="7F5F66C5"/>
    <w:rsid w:val="7F602385"/>
    <w:rsid w:val="7F614A34"/>
    <w:rsid w:val="7F614D28"/>
    <w:rsid w:val="7F6179F3"/>
    <w:rsid w:val="7F63372A"/>
    <w:rsid w:val="7F6365F9"/>
    <w:rsid w:val="7F642634"/>
    <w:rsid w:val="7F6812CE"/>
    <w:rsid w:val="7F69519A"/>
    <w:rsid w:val="7F70218A"/>
    <w:rsid w:val="7F7514A2"/>
    <w:rsid w:val="7F7B282B"/>
    <w:rsid w:val="7F7D592C"/>
    <w:rsid w:val="7F805AC3"/>
    <w:rsid w:val="7F83286F"/>
    <w:rsid w:val="7F8649A9"/>
    <w:rsid w:val="7F873895"/>
    <w:rsid w:val="7F891D26"/>
    <w:rsid w:val="7F8A16A6"/>
    <w:rsid w:val="7F8D77FC"/>
    <w:rsid w:val="7F913931"/>
    <w:rsid w:val="7F915207"/>
    <w:rsid w:val="7F960E9D"/>
    <w:rsid w:val="7F98284E"/>
    <w:rsid w:val="7F992685"/>
    <w:rsid w:val="7F9B0314"/>
    <w:rsid w:val="7F9D20A5"/>
    <w:rsid w:val="7F9E22BE"/>
    <w:rsid w:val="7F9E68C5"/>
    <w:rsid w:val="7F9F1E71"/>
    <w:rsid w:val="7F9F3CC1"/>
    <w:rsid w:val="7FA54FB8"/>
    <w:rsid w:val="7FA86B51"/>
    <w:rsid w:val="7FAD20F2"/>
    <w:rsid w:val="7FAD3673"/>
    <w:rsid w:val="7FAD3C21"/>
    <w:rsid w:val="7FB11201"/>
    <w:rsid w:val="7FB165D6"/>
    <w:rsid w:val="7FB24452"/>
    <w:rsid w:val="7FB47B1D"/>
    <w:rsid w:val="7FBA238A"/>
    <w:rsid w:val="7FBA548C"/>
    <w:rsid w:val="7FBD5C2C"/>
    <w:rsid w:val="7FBD5DC2"/>
    <w:rsid w:val="7FC331C5"/>
    <w:rsid w:val="7FC83CB0"/>
    <w:rsid w:val="7FC916D2"/>
    <w:rsid w:val="7FCA5187"/>
    <w:rsid w:val="7FCC570C"/>
    <w:rsid w:val="7FCE0DDA"/>
    <w:rsid w:val="7FD14557"/>
    <w:rsid w:val="7FD270D3"/>
    <w:rsid w:val="7FD94D25"/>
    <w:rsid w:val="7FDC041F"/>
    <w:rsid w:val="7FDD1879"/>
    <w:rsid w:val="7FE1147A"/>
    <w:rsid w:val="7FE17C1C"/>
    <w:rsid w:val="7FEA0E77"/>
    <w:rsid w:val="7FEA56BA"/>
    <w:rsid w:val="7FEF77A3"/>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5"/>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6"/>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7"/>
    <w:unhideWhenUsed/>
    <w:qFormat/>
    <w:uiPriority w:val="9"/>
    <w:pPr>
      <w:numPr>
        <w:ilvl w:val="2"/>
      </w:numPr>
      <w:outlineLvl w:val="2"/>
    </w:pPr>
  </w:style>
  <w:style w:type="paragraph" w:styleId="5">
    <w:name w:val="heading 4"/>
    <w:basedOn w:val="4"/>
    <w:next w:val="1"/>
    <w:link w:val="66"/>
    <w:qFormat/>
    <w:uiPriority w:val="0"/>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7"/>
    <w:qFormat/>
    <w:uiPriority w:val="0"/>
    <w:pPr>
      <w:numPr>
        <w:ilvl w:val="4"/>
      </w:num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3">
    <w:name w:val="caption"/>
    <w:basedOn w:val="1"/>
    <w:next w:val="1"/>
    <w:link w:val="43"/>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41"/>
    <w:unhideWhenUsed/>
    <w:qFormat/>
    <w:uiPriority w:val="99"/>
    <w:rPr>
      <w:rFonts w:ascii="宋体"/>
      <w:sz w:val="18"/>
      <w:szCs w:val="18"/>
    </w:rPr>
  </w:style>
  <w:style w:type="paragraph" w:styleId="15">
    <w:name w:val="annotation text"/>
    <w:basedOn w:val="1"/>
    <w:link w:val="38"/>
    <w:unhideWhenUsed/>
    <w:qFormat/>
    <w:uiPriority w:val="99"/>
    <w:rPr>
      <w:sz w:val="20"/>
      <w:szCs w:val="20"/>
    </w:rPr>
  </w:style>
  <w:style w:type="paragraph" w:styleId="16">
    <w:name w:val="Body Text"/>
    <w:basedOn w:val="1"/>
    <w:link w:val="42"/>
    <w:qFormat/>
    <w:uiPriority w:val="0"/>
    <w:pPr>
      <w:widowControl w:val="0"/>
      <w:spacing w:after="0" w:line="240" w:lineRule="auto"/>
      <w:jc w:val="both"/>
    </w:pPr>
    <w:rPr>
      <w:rFonts w:ascii="Times New Roman" w:hAnsi="Times New Roman"/>
      <w:color w:val="0000FF"/>
      <w:kern w:val="2"/>
      <w:sz w:val="21"/>
      <w:szCs w:val="20"/>
    </w:rPr>
  </w:style>
  <w:style w:type="paragraph" w:styleId="17">
    <w:name w:val="Body Text Indent"/>
    <w:basedOn w:val="1"/>
    <w:link w:val="74"/>
    <w:unhideWhenUsed/>
    <w:qFormat/>
    <w:uiPriority w:val="99"/>
    <w:pPr>
      <w:spacing w:after="120"/>
      <w:ind w:left="360"/>
    </w:pPr>
  </w:style>
  <w:style w:type="paragraph" w:styleId="18">
    <w:name w:val="List 2"/>
    <w:basedOn w:val="1"/>
    <w:unhideWhenUsed/>
    <w:qFormat/>
    <w:uiPriority w:val="99"/>
    <w:pPr>
      <w:ind w:left="100" w:leftChars="200" w:hanging="200" w:hangingChars="200"/>
      <w:contextualSpacing/>
    </w:pPr>
  </w:style>
  <w:style w:type="paragraph" w:styleId="19">
    <w:name w:val="Plain Text"/>
    <w:basedOn w:val="1"/>
    <w:link w:val="60"/>
    <w:unhideWhenUsed/>
    <w:qFormat/>
    <w:uiPriority w:val="99"/>
    <w:pPr>
      <w:spacing w:after="0" w:line="240" w:lineRule="auto"/>
    </w:pPr>
    <w:rPr>
      <w:rFonts w:eastAsia="Calibri"/>
      <w:szCs w:val="21"/>
      <w:lang w:val="en-GB" w:eastAsia="en-US"/>
    </w:rPr>
  </w:style>
  <w:style w:type="paragraph" w:styleId="20">
    <w:name w:val="Date"/>
    <w:basedOn w:val="1"/>
    <w:next w:val="1"/>
    <w:link w:val="54"/>
    <w:unhideWhenUsed/>
    <w:qFormat/>
    <w:uiPriority w:val="99"/>
    <w:pPr>
      <w:ind w:left="100" w:leftChars="2500"/>
    </w:pPr>
  </w:style>
  <w:style w:type="paragraph" w:styleId="21">
    <w:name w:val="Balloon Text"/>
    <w:basedOn w:val="1"/>
    <w:link w:val="40"/>
    <w:unhideWhenUsed/>
    <w:qFormat/>
    <w:uiPriority w:val="99"/>
    <w:pPr>
      <w:spacing w:after="0" w:line="240" w:lineRule="auto"/>
    </w:pPr>
    <w:rPr>
      <w:rFonts w:ascii="Tahoma" w:hAnsi="Tahoma"/>
      <w:sz w:val="16"/>
      <w:szCs w:val="16"/>
    </w:rPr>
  </w:style>
  <w:style w:type="paragraph" w:styleId="22">
    <w:name w:val="footer"/>
    <w:basedOn w:val="1"/>
    <w:link w:val="45"/>
    <w:unhideWhenUsed/>
    <w:qFormat/>
    <w:uiPriority w:val="99"/>
    <w:pPr>
      <w:tabs>
        <w:tab w:val="center" w:pos="4153"/>
        <w:tab w:val="right" w:pos="8306"/>
      </w:tabs>
      <w:snapToGrid w:val="0"/>
      <w:spacing w:line="240" w:lineRule="auto"/>
    </w:pPr>
    <w:rPr>
      <w:sz w:val="18"/>
      <w:szCs w:val="18"/>
    </w:rPr>
  </w:style>
  <w:style w:type="paragraph" w:styleId="23">
    <w:name w:val="header"/>
    <w:basedOn w:val="1"/>
    <w:link w:val="36"/>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4">
    <w:name w:val="List"/>
    <w:basedOn w:val="1"/>
    <w:unhideWhenUsed/>
    <w:qFormat/>
    <w:uiPriority w:val="99"/>
    <w:pPr>
      <w:ind w:left="568" w:hanging="284"/>
    </w:p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39"/>
    <w:unhideWhenUsed/>
    <w:qFormat/>
    <w:uiPriority w:val="99"/>
    <w:rPr>
      <w:b/>
      <w:bCs/>
    </w:r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basedOn w:val="29"/>
    <w:qFormat/>
    <w:uiPriority w:val="22"/>
    <w:rPr>
      <w:b/>
    </w:rPr>
  </w:style>
  <w:style w:type="character" w:styleId="31">
    <w:name w:val="page number"/>
    <w:basedOn w:val="29"/>
    <w:unhideWhenUsed/>
    <w:qFormat/>
    <w:uiPriority w:val="99"/>
    <w:rPr>
      <w:rFonts w:hint="default"/>
      <w:sz w:val="24"/>
    </w:rPr>
  </w:style>
  <w:style w:type="character" w:styleId="32">
    <w:name w:val="Emphasis"/>
    <w:basedOn w:val="29"/>
    <w:qFormat/>
    <w:uiPriority w:val="20"/>
    <w:rPr>
      <w:i/>
    </w:rPr>
  </w:style>
  <w:style w:type="character" w:styleId="33">
    <w:name w:val="Hyperlink"/>
    <w:unhideWhenUsed/>
    <w:qFormat/>
    <w:uiPriority w:val="99"/>
    <w:rPr>
      <w:color w:val="0000FF"/>
      <w:u w:val="single"/>
    </w:rPr>
  </w:style>
  <w:style w:type="character" w:styleId="34">
    <w:name w:val="annotation reference"/>
    <w:unhideWhenUsed/>
    <w:qFormat/>
    <w:uiPriority w:val="99"/>
    <w:rPr>
      <w:sz w:val="16"/>
      <w:szCs w:val="16"/>
    </w:rPr>
  </w:style>
  <w:style w:type="character" w:customStyle="1" w:styleId="35">
    <w:name w:val="标题 1 Char"/>
    <w:link w:val="2"/>
    <w:qFormat/>
    <w:uiPriority w:val="99"/>
    <w:rPr>
      <w:rFonts w:ascii="Arial" w:hAnsi="Arial" w:eastAsia="黑体"/>
      <w:b/>
      <w:bCs/>
      <w:sz w:val="30"/>
      <w:szCs w:val="30"/>
      <w:lang w:val="zh-CN" w:eastAsia="zh-CN"/>
    </w:rPr>
  </w:style>
  <w:style w:type="character" w:customStyle="1" w:styleId="36">
    <w:name w:val="页眉 Char"/>
    <w:link w:val="23"/>
    <w:qFormat/>
    <w:uiPriority w:val="99"/>
    <w:rPr>
      <w:rFonts w:ascii="Arial" w:hAnsi="Arial" w:eastAsia="MS Mincho"/>
      <w:b/>
      <w:szCs w:val="24"/>
      <w:lang w:eastAsia="en-US"/>
    </w:rPr>
  </w:style>
  <w:style w:type="paragraph" w:customStyle="1" w:styleId="3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character" w:customStyle="1" w:styleId="38">
    <w:name w:val="批注文字 Char"/>
    <w:basedOn w:val="29"/>
    <w:link w:val="15"/>
    <w:qFormat/>
    <w:uiPriority w:val="99"/>
  </w:style>
  <w:style w:type="character" w:customStyle="1" w:styleId="39">
    <w:name w:val="批注主题 Char"/>
    <w:link w:val="26"/>
    <w:semiHidden/>
    <w:qFormat/>
    <w:uiPriority w:val="99"/>
    <w:rPr>
      <w:b/>
      <w:bCs/>
    </w:rPr>
  </w:style>
  <w:style w:type="character" w:customStyle="1" w:styleId="40">
    <w:name w:val="批注框文本 Char"/>
    <w:link w:val="21"/>
    <w:semiHidden/>
    <w:qFormat/>
    <w:uiPriority w:val="99"/>
    <w:rPr>
      <w:rFonts w:ascii="Tahoma" w:hAnsi="Tahoma" w:cs="Tahoma"/>
      <w:sz w:val="16"/>
      <w:szCs w:val="16"/>
    </w:rPr>
  </w:style>
  <w:style w:type="character" w:customStyle="1" w:styleId="41">
    <w:name w:val="文档结构图 Char"/>
    <w:link w:val="14"/>
    <w:semiHidden/>
    <w:qFormat/>
    <w:uiPriority w:val="99"/>
    <w:rPr>
      <w:rFonts w:ascii="宋体"/>
      <w:sz w:val="18"/>
      <w:szCs w:val="18"/>
    </w:rPr>
  </w:style>
  <w:style w:type="character" w:customStyle="1" w:styleId="42">
    <w:name w:val="正文文本 Char"/>
    <w:link w:val="16"/>
    <w:qFormat/>
    <w:uiPriority w:val="0"/>
    <w:rPr>
      <w:rFonts w:ascii="Times New Roman" w:hAnsi="Times New Roman"/>
      <w:color w:val="0000FF"/>
      <w:kern w:val="2"/>
      <w:sz w:val="21"/>
    </w:rPr>
  </w:style>
  <w:style w:type="character" w:customStyle="1" w:styleId="43">
    <w:name w:val="题注 Char"/>
    <w:link w:val="13"/>
    <w:qFormat/>
    <w:uiPriority w:val="0"/>
    <w:rPr>
      <w:rFonts w:ascii="Times New Roman" w:hAnsi="Times New Roman"/>
      <w:b/>
      <w:bCs/>
      <w:lang w:val="en-GB" w:eastAsia="sv-SE"/>
    </w:rPr>
  </w:style>
  <w:style w:type="paragraph" w:customStyle="1" w:styleId="44">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5">
    <w:name w:val="页脚 Char"/>
    <w:link w:val="22"/>
    <w:qFormat/>
    <w:uiPriority w:val="99"/>
    <w:rPr>
      <w:sz w:val="18"/>
      <w:szCs w:val="18"/>
    </w:rPr>
  </w:style>
  <w:style w:type="character" w:customStyle="1" w:styleId="46">
    <w:name w:val="标题 2 Char"/>
    <w:link w:val="3"/>
    <w:qFormat/>
    <w:uiPriority w:val="0"/>
    <w:rPr>
      <w:rFonts w:ascii="Cambria" w:hAnsi="Cambria"/>
      <w:b/>
      <w:bCs/>
      <w:sz w:val="32"/>
      <w:szCs w:val="32"/>
      <w:lang w:val="en-US" w:eastAsia="zh-CN"/>
    </w:rPr>
  </w:style>
  <w:style w:type="character" w:customStyle="1" w:styleId="47">
    <w:name w:val="标题 3 Char"/>
    <w:link w:val="4"/>
    <w:semiHidden/>
    <w:qFormat/>
    <w:uiPriority w:val="9"/>
    <w:rPr>
      <w:b/>
      <w:bCs/>
      <w:sz w:val="32"/>
      <w:szCs w:val="32"/>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9">
    <w:name w:val="z-Top of Form1"/>
    <w:basedOn w:val="1"/>
    <w:next w:val="1"/>
    <w:link w:val="50"/>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0">
    <w:name w:val="z-窗体顶端 Char"/>
    <w:link w:val="49"/>
    <w:semiHidden/>
    <w:qFormat/>
    <w:uiPriority w:val="99"/>
    <w:rPr>
      <w:rFonts w:ascii="Arial" w:hAnsi="Arial" w:cs="Arial"/>
      <w:vanish/>
      <w:sz w:val="16"/>
      <w:szCs w:val="16"/>
    </w:rPr>
  </w:style>
  <w:style w:type="character" w:customStyle="1" w:styleId="51">
    <w:name w:val="hps"/>
    <w:basedOn w:val="29"/>
    <w:qFormat/>
    <w:uiPriority w:val="0"/>
  </w:style>
  <w:style w:type="paragraph" w:customStyle="1" w:styleId="52">
    <w:name w:val="z-Bottom of Form1"/>
    <w:basedOn w:val="1"/>
    <w:next w:val="1"/>
    <w:link w:val="53"/>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3">
    <w:name w:val="z-窗体底端 Char"/>
    <w:link w:val="52"/>
    <w:semiHidden/>
    <w:qFormat/>
    <w:uiPriority w:val="99"/>
    <w:rPr>
      <w:rFonts w:ascii="Arial" w:hAnsi="Arial" w:cs="Arial"/>
      <w:vanish/>
      <w:sz w:val="16"/>
      <w:szCs w:val="16"/>
    </w:rPr>
  </w:style>
  <w:style w:type="character" w:customStyle="1" w:styleId="54">
    <w:name w:val="日期 Char"/>
    <w:link w:val="20"/>
    <w:semiHidden/>
    <w:qFormat/>
    <w:uiPriority w:val="99"/>
    <w:rPr>
      <w:sz w:val="22"/>
      <w:szCs w:val="22"/>
    </w:rPr>
  </w:style>
  <w:style w:type="paragraph" w:customStyle="1" w:styleId="55">
    <w:name w:val="List Paragraph1"/>
    <w:basedOn w:val="1"/>
    <w:link w:val="69"/>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6">
    <w:name w:val="Revision1"/>
    <w:hidden/>
    <w:semiHidden/>
    <w:qFormat/>
    <w:uiPriority w:val="99"/>
    <w:rPr>
      <w:rFonts w:ascii="Calibri" w:hAnsi="Calibri" w:cs="Times New Roman" w:eastAsiaTheme="minorEastAsia"/>
      <w:sz w:val="22"/>
      <w:szCs w:val="22"/>
      <w:lang w:val="en-US" w:eastAsia="zh-CN" w:bidi="ar-SA"/>
    </w:rPr>
  </w:style>
  <w:style w:type="paragraph" w:customStyle="1" w:styleId="57">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8">
    <w:name w:val="short_text"/>
    <w:basedOn w:val="29"/>
    <w:qFormat/>
    <w:uiPriority w:val="0"/>
  </w:style>
  <w:style w:type="paragraph" w:customStyle="1" w:styleId="59">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0">
    <w:name w:val="纯文本 Char"/>
    <w:link w:val="19"/>
    <w:qFormat/>
    <w:uiPriority w:val="99"/>
    <w:rPr>
      <w:rFonts w:eastAsia="Calibri"/>
      <w:sz w:val="22"/>
      <w:szCs w:val="21"/>
      <w:lang w:val="en-GB" w:eastAsia="en-US"/>
    </w:rPr>
  </w:style>
  <w:style w:type="paragraph" w:customStyle="1" w:styleId="61">
    <w:name w:val="TAH"/>
    <w:basedOn w:val="62"/>
    <w:link w:val="82"/>
    <w:qFormat/>
    <w:uiPriority w:val="0"/>
    <w:rPr>
      <w:b/>
    </w:rPr>
  </w:style>
  <w:style w:type="paragraph" w:customStyle="1" w:styleId="62">
    <w:name w:val="TAC"/>
    <w:basedOn w:val="63"/>
    <w:qFormat/>
    <w:uiPriority w:val="0"/>
    <w:pPr>
      <w:spacing w:line="240" w:lineRule="auto"/>
      <w:jc w:val="center"/>
    </w:pPr>
    <w:rPr>
      <w:szCs w:val="20"/>
      <w:lang w:val="en-GB" w:eastAsia="en-US"/>
    </w:rPr>
  </w:style>
  <w:style w:type="paragraph" w:customStyle="1" w:styleId="63">
    <w:name w:val="TAL"/>
    <w:basedOn w:val="1"/>
    <w:qFormat/>
    <w:uiPriority w:val="0"/>
    <w:pPr>
      <w:keepNext/>
      <w:keepLines/>
      <w:spacing w:after="0"/>
    </w:pPr>
    <w:rPr>
      <w:rFonts w:ascii="Arial" w:hAnsi="Arial"/>
      <w:sz w:val="18"/>
    </w:rPr>
  </w:style>
  <w:style w:type="paragraph" w:customStyle="1" w:styleId="64">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5">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6">
    <w:name w:val="标题 4 Char"/>
    <w:link w:val="5"/>
    <w:qFormat/>
    <w:uiPriority w:val="0"/>
    <w:rPr>
      <w:rFonts w:ascii="Times New Roman" w:hAnsi="Times New Roman"/>
      <w:b/>
      <w:sz w:val="28"/>
      <w:szCs w:val="28"/>
      <w:lang w:val="en-GB"/>
    </w:rPr>
  </w:style>
  <w:style w:type="character" w:customStyle="1" w:styleId="67">
    <w:name w:val="标题 5 Char"/>
    <w:link w:val="6"/>
    <w:qFormat/>
    <w:uiPriority w:val="0"/>
    <w:rPr>
      <w:rFonts w:ascii="Times New Roman" w:hAnsi="Times New Roman"/>
      <w:b/>
      <w:sz w:val="24"/>
      <w:szCs w:val="24"/>
      <w:lang w:val="en-GB"/>
    </w:rPr>
  </w:style>
  <w:style w:type="character" w:customStyle="1" w:styleId="68">
    <w:name w:val="apple-converted-space"/>
    <w:basedOn w:val="29"/>
    <w:qFormat/>
    <w:uiPriority w:val="0"/>
  </w:style>
  <w:style w:type="character" w:customStyle="1" w:styleId="69">
    <w:name w:val="列出段落 Char"/>
    <w:link w:val="55"/>
    <w:qFormat/>
    <w:locked/>
    <w:uiPriority w:val="34"/>
    <w:rPr>
      <w:rFonts w:ascii="Times New Roman" w:hAnsi="Times New Roman"/>
      <w:kern w:val="2"/>
      <w:sz w:val="21"/>
      <w:szCs w:val="24"/>
    </w:rPr>
  </w:style>
  <w:style w:type="character" w:customStyle="1" w:styleId="70">
    <w:name w:val="keyword"/>
    <w:basedOn w:val="29"/>
    <w:qFormat/>
    <w:uiPriority w:val="0"/>
  </w:style>
  <w:style w:type="paragraph" w:customStyle="1" w:styleId="71">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2">
    <w:name w:val="Doc-text2"/>
    <w:basedOn w:val="1"/>
    <w:link w:val="73"/>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3">
    <w:name w:val="Doc-text2 Char"/>
    <w:link w:val="72"/>
    <w:qFormat/>
    <w:uiPriority w:val="0"/>
    <w:rPr>
      <w:rFonts w:ascii="Arial" w:hAnsi="Arial" w:eastAsia="MS Mincho"/>
      <w:szCs w:val="24"/>
      <w:lang w:val="en-GB" w:eastAsia="en-GB"/>
    </w:rPr>
  </w:style>
  <w:style w:type="character" w:customStyle="1" w:styleId="74">
    <w:name w:val="正文文本缩进 Char"/>
    <w:basedOn w:val="29"/>
    <w:link w:val="17"/>
    <w:semiHidden/>
    <w:qFormat/>
    <w:uiPriority w:val="99"/>
    <w:rPr>
      <w:sz w:val="22"/>
      <w:szCs w:val="22"/>
    </w:rPr>
  </w:style>
  <w:style w:type="paragraph" w:customStyle="1" w:styleId="75">
    <w:name w:val="main text"/>
    <w:basedOn w:val="1"/>
    <w:link w:val="76"/>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6">
    <w:name w:val="main text Char"/>
    <w:link w:val="75"/>
    <w:qFormat/>
    <w:uiPriority w:val="0"/>
    <w:rPr>
      <w:rFonts w:ascii="Times New Roman" w:hAnsi="Times New Roman" w:eastAsia="Malgun Gothic"/>
      <w:lang w:val="en-GB" w:eastAsia="ko-KR"/>
    </w:rPr>
  </w:style>
  <w:style w:type="paragraph" w:customStyle="1" w:styleId="77">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8">
    <w:name w:val="样式 正文缩进d + 首行缩进:  2 字符 段前: 0.35 行"/>
    <w:basedOn w:val="12"/>
    <w:link w:val="79"/>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9">
    <w:name w:val="样式 正文缩进d + 首行缩进:  2 字符 段前: 0.35 行 Char"/>
    <w:link w:val="78"/>
    <w:qFormat/>
    <w:uiPriority w:val="0"/>
    <w:rPr>
      <w:rFonts w:ascii="Times New Roman" w:hAnsi="Times New Roman" w:eastAsia="楷体_GB2312"/>
      <w:snapToGrid w:val="0"/>
      <w:sz w:val="28"/>
    </w:rPr>
  </w:style>
  <w:style w:type="paragraph" w:customStyle="1" w:styleId="80">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1">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2">
    <w:name w:val="TAH Car"/>
    <w:link w:val="61"/>
    <w:qFormat/>
    <w:uiPriority w:val="0"/>
    <w:rPr>
      <w:rFonts w:ascii="Arial" w:hAnsi="Arial"/>
      <w:b/>
      <w:sz w:val="18"/>
      <w:lang w:val="en-GB" w:eastAsia="en-US"/>
    </w:rPr>
  </w:style>
  <w:style w:type="paragraph" w:customStyle="1" w:styleId="83">
    <w:name w:val="_Style 1"/>
    <w:basedOn w:val="1"/>
    <w:qFormat/>
    <w:uiPriority w:val="34"/>
    <w:pPr>
      <w:ind w:left="840" w:leftChars="400"/>
    </w:pPr>
  </w:style>
  <w:style w:type="paragraph" w:customStyle="1" w:styleId="84">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5">
    <w:name w:val="B1"/>
    <w:basedOn w:val="24"/>
    <w:qFormat/>
    <w:uiPriority w:val="0"/>
  </w:style>
  <w:style w:type="paragraph" w:customStyle="1" w:styleId="86">
    <w:name w:val="EQ"/>
    <w:basedOn w:val="1"/>
    <w:next w:val="1"/>
    <w:unhideWhenUsed/>
    <w:qFormat/>
    <w:uiPriority w:val="0"/>
    <w:pPr>
      <w:keepLines/>
      <w:tabs>
        <w:tab w:val="center" w:pos="4536"/>
        <w:tab w:val="right" w:pos="9072"/>
      </w:tabs>
    </w:pPr>
    <w:rPr>
      <w:sz w:val="24"/>
    </w:rPr>
  </w:style>
  <w:style w:type="paragraph" w:customStyle="1" w:styleId="87">
    <w:name w:val="List Paragraph2"/>
    <w:basedOn w:val="1"/>
    <w:qFormat/>
    <w:uiPriority w:val="99"/>
    <w:pPr>
      <w:ind w:firstLine="420" w:firstLineChars="200"/>
    </w:pPr>
  </w:style>
  <w:style w:type="paragraph" w:customStyle="1" w:styleId="88">
    <w:name w:val="No Spacing1"/>
    <w:qFormat/>
    <w:uiPriority w:val="1"/>
    <w:rPr>
      <w:rFonts w:ascii="Times New Roman" w:hAnsi="Times New Roman" w:eastAsia="宋体" w:cs="Times New Roman"/>
      <w:sz w:val="22"/>
      <w:szCs w:val="22"/>
      <w:lang w:val="en-US" w:eastAsia="zh-CN" w:bidi="ar-SA"/>
    </w:rPr>
  </w:style>
  <w:style w:type="paragraph" w:customStyle="1" w:styleId="89">
    <w:name w:val="Comments"/>
    <w:basedOn w:val="1"/>
    <w:qFormat/>
    <w:uiPriority w:val="0"/>
    <w:pPr>
      <w:spacing w:before="40"/>
    </w:pPr>
    <w:rPr>
      <w:rFonts w:ascii="Arial" w:hAnsi="Arial" w:eastAsia="MS Mincho"/>
      <w:i/>
      <w:sz w:val="18"/>
      <w:lang w:eastAsia="en-GB"/>
    </w:rPr>
  </w:style>
  <w:style w:type="paragraph" w:customStyle="1" w:styleId="90">
    <w:name w:val="列出段落2"/>
    <w:basedOn w:val="1"/>
    <w:qFormat/>
    <w:uiPriority w:val="34"/>
    <w:pPr>
      <w:ind w:left="840" w:leftChars="400"/>
    </w:pPr>
  </w:style>
  <w:style w:type="paragraph" w:customStyle="1" w:styleId="9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2">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3">
    <w:name w:val="列出段落3"/>
    <w:basedOn w:val="1"/>
    <w:qFormat/>
    <w:uiPriority w:val="34"/>
    <w:pPr>
      <w:ind w:left="840" w:leftChars="400"/>
    </w:pPr>
  </w:style>
  <w:style w:type="paragraph" w:customStyle="1" w:styleId="94">
    <w:name w:val="列出段落4"/>
    <w:basedOn w:val="1"/>
    <w:qFormat/>
    <w:uiPriority w:val="34"/>
    <w:pPr>
      <w:ind w:left="840" w:leftChars="400"/>
    </w:pPr>
  </w:style>
  <w:style w:type="paragraph" w:customStyle="1" w:styleId="95">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styleId="96">
    <w:name w:val="List Paragraph"/>
    <w:basedOn w:val="1"/>
    <w:qFormat/>
    <w:uiPriority w:val="34"/>
    <w:pPr>
      <w:ind w:left="840" w:leftChars="400"/>
    </w:pPr>
  </w:style>
  <w:style w:type="character" w:styleId="97">
    <w:name w:val="Placeholder Text"/>
    <w:basedOn w:val="29"/>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2.bin"/><Relationship Id="rId7" Type="http://schemas.openxmlformats.org/officeDocument/2006/relationships/image" Target="media/image2.wmf"/><Relationship Id="rId6" Type="http://schemas.openxmlformats.org/officeDocument/2006/relationships/oleObject" Target="embeddings/oleObject1.bin"/><Relationship Id="rId5" Type="http://schemas.openxmlformats.org/officeDocument/2006/relationships/image" Target="media/image1.jpeg"/><Relationship Id="rId4" Type="http://schemas.openxmlformats.org/officeDocument/2006/relationships/theme" Target="theme/theme1.xml"/><Relationship Id="rId34" Type="http://schemas.openxmlformats.org/officeDocument/2006/relationships/fontTable" Target="fontTable.xml"/><Relationship Id="rId33" Type="http://schemas.openxmlformats.org/officeDocument/2006/relationships/customXml" Target="../customXml/item2.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18.png"/><Relationship Id="rId3" Type="http://schemas.openxmlformats.org/officeDocument/2006/relationships/footer" Target="footer1.xml"/><Relationship Id="rId29" Type="http://schemas.openxmlformats.org/officeDocument/2006/relationships/image" Target="media/image17.png"/><Relationship Id="rId28" Type="http://schemas.openxmlformats.org/officeDocument/2006/relationships/image" Target="media/image16.png"/><Relationship Id="rId27" Type="http://schemas.openxmlformats.org/officeDocument/2006/relationships/image" Target="media/image15.png"/><Relationship Id="rId26" Type="http://schemas.openxmlformats.org/officeDocument/2006/relationships/image" Target="media/image14.png"/><Relationship Id="rId25" Type="http://schemas.openxmlformats.org/officeDocument/2006/relationships/image" Target="media/image13.emf"/><Relationship Id="rId24" Type="http://schemas.openxmlformats.org/officeDocument/2006/relationships/image" Target="media/image12.emf"/><Relationship Id="rId23" Type="http://schemas.openxmlformats.org/officeDocument/2006/relationships/image" Target="media/image11.jpeg"/><Relationship Id="rId22" Type="http://schemas.openxmlformats.org/officeDocument/2006/relationships/image" Target="media/image10.wmf"/><Relationship Id="rId21" Type="http://schemas.openxmlformats.org/officeDocument/2006/relationships/oleObject" Target="embeddings/oleObject8.bin"/><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8.jpeg"/><Relationship Id="rId17" Type="http://schemas.openxmlformats.org/officeDocument/2006/relationships/image" Target="media/image7.wmf"/><Relationship Id="rId16" Type="http://schemas.openxmlformats.org/officeDocument/2006/relationships/oleObject" Target="embeddings/oleObject6.bin"/><Relationship Id="rId15" Type="http://schemas.openxmlformats.org/officeDocument/2006/relationships/image" Target="media/image6.wmf"/><Relationship Id="rId14" Type="http://schemas.openxmlformats.org/officeDocument/2006/relationships/oleObject" Target="embeddings/oleObject5.bin"/><Relationship Id="rId13" Type="http://schemas.openxmlformats.org/officeDocument/2006/relationships/image" Target="media/image5.wmf"/><Relationship Id="rId12" Type="http://schemas.openxmlformats.org/officeDocument/2006/relationships/oleObject" Target="embeddings/oleObject4.bin"/><Relationship Id="rId11" Type="http://schemas.openxmlformats.org/officeDocument/2006/relationships/image" Target="media/image4.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2386FC-A9EB-42A0-8EBC-2C153240D534}">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16</Pages>
  <Words>4653</Words>
  <Characters>26526</Characters>
  <Lines>221</Lines>
  <Paragraphs>62</Paragraphs>
  <TotalTime>3</TotalTime>
  <ScaleCrop>false</ScaleCrop>
  <LinksUpToDate>false</LinksUpToDate>
  <CharactersWithSpaces>31117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2019-10-04T06:55:00Z</dcterms:created>
  <dc:creator>ZTE</dc:creator>
  <cp:lastModifiedBy>ZTE</cp:lastModifiedBy>
  <dcterms:modified xsi:type="dcterms:W3CDTF">2021-01-16T08:47:36Z</dcterms:modified>
  <cp:revision>508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